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08" w:rsidRDefault="00330718" w:rsidP="00BB5DFD">
      <w:pPr>
        <w:spacing w:line="480" w:lineRule="auto"/>
        <w:jc w:val="center"/>
      </w:pPr>
      <w:r>
        <w:t>Sacred, but Imperfect: A Postmodernist Paradox?</w:t>
      </w:r>
    </w:p>
    <w:p w:rsidR="008A6DA5" w:rsidRDefault="00CC3E6F" w:rsidP="00BB5DFD">
      <w:pPr>
        <w:spacing w:line="480" w:lineRule="auto"/>
      </w:pPr>
      <w:r>
        <w:tab/>
        <w:t>Vitruvius,</w:t>
      </w:r>
      <w:r w:rsidR="00183F0D">
        <w:t xml:space="preserve"> philosopher-master builder </w:t>
      </w:r>
      <w:r w:rsidR="000D0C47">
        <w:t xml:space="preserve">favored by </w:t>
      </w:r>
      <w:r w:rsidR="006965D1">
        <w:t xml:space="preserve">the Emperor </w:t>
      </w:r>
      <w:r w:rsidR="000D0C47">
        <w:t>Augustus in f</w:t>
      </w:r>
      <w:r w:rsidR="00E37693">
        <w:t>irst-century CE Rome,</w:t>
      </w:r>
      <w:r w:rsidR="00183F0D">
        <w:t xml:space="preserve"> codified the practice of architecture</w:t>
      </w:r>
      <w:r w:rsidR="00E37693">
        <w:t xml:space="preserve"> with his treatise </w:t>
      </w:r>
      <w:r w:rsidR="0071303E" w:rsidRPr="006965D1">
        <w:rPr>
          <w:i/>
        </w:rPr>
        <w:t xml:space="preserve">De </w:t>
      </w:r>
      <w:proofErr w:type="spellStart"/>
      <w:r w:rsidR="0071303E" w:rsidRPr="006965D1">
        <w:rPr>
          <w:i/>
        </w:rPr>
        <w:t>Architectura</w:t>
      </w:r>
      <w:proofErr w:type="spellEnd"/>
      <w:r w:rsidR="00E37693">
        <w:rPr>
          <w:i/>
        </w:rPr>
        <w:t xml:space="preserve"> </w:t>
      </w:r>
      <w:r w:rsidR="00E37693">
        <w:t xml:space="preserve">(or </w:t>
      </w:r>
      <w:r w:rsidR="00E37693">
        <w:rPr>
          <w:i/>
        </w:rPr>
        <w:t>The Ten Books on Architecture</w:t>
      </w:r>
      <w:r w:rsidR="00E37693">
        <w:t>)</w:t>
      </w:r>
      <w:r w:rsidR="00BF3159">
        <w:t>.</w:t>
      </w:r>
      <w:r w:rsidR="008A6DA5">
        <w:t xml:space="preserve"> </w:t>
      </w:r>
      <w:r w:rsidR="003A67E7">
        <w:t xml:space="preserve">Vitruvius </w:t>
      </w:r>
      <w:r w:rsidR="00183F0D">
        <w:t xml:space="preserve">dedicated this treatise to his patron Emperor, who employed him to </w:t>
      </w:r>
      <w:r w:rsidR="003A67E7">
        <w:t>spearhead the marble rebuilding of Rome</w:t>
      </w:r>
      <w:r w:rsidR="00E11C52">
        <w:t xml:space="preserve">. </w:t>
      </w:r>
      <w:bookmarkStart w:id="0" w:name="_GoBack"/>
      <w:bookmarkEnd w:id="0"/>
      <w:r w:rsidR="00E11C52">
        <w:t xml:space="preserve">Roman pragmatism </w:t>
      </w:r>
      <w:r w:rsidR="008A6DA5">
        <w:t>tames</w:t>
      </w:r>
      <w:r w:rsidR="00E11C52">
        <w:t xml:space="preserve"> </w:t>
      </w:r>
      <w:r w:rsidR="00183F0D">
        <w:t xml:space="preserve">the </w:t>
      </w:r>
      <w:r w:rsidR="00E37693">
        <w:t xml:space="preserve">previous </w:t>
      </w:r>
      <w:r w:rsidR="00E11C52">
        <w:t xml:space="preserve">Greek </w:t>
      </w:r>
      <w:r w:rsidR="008B4E46">
        <w:t>exploration</w:t>
      </w:r>
      <w:r w:rsidR="00E11C52">
        <w:t xml:space="preserve"> in</w:t>
      </w:r>
      <w:r w:rsidR="00183F0D">
        <w:t xml:space="preserve"> these </w:t>
      </w:r>
      <w:r w:rsidR="00183F0D">
        <w:rPr>
          <w:i/>
        </w:rPr>
        <w:t>Ten Books</w:t>
      </w:r>
      <w:r w:rsidR="008A6DA5">
        <w:t>, setting</w:t>
      </w:r>
      <w:r w:rsidR="00E11C52">
        <w:t xml:space="preserve"> best pra</w:t>
      </w:r>
      <w:r w:rsidR="008A6DA5">
        <w:t>ctice rules that give structure to subjectivity</w:t>
      </w:r>
      <w:r w:rsidR="00DF3AF8">
        <w:t xml:space="preserve">. </w:t>
      </w:r>
      <w:r w:rsidR="00E37693">
        <w:t>Attempting</w:t>
      </w:r>
      <w:r w:rsidR="00795F78">
        <w:t xml:space="preserve"> to </w:t>
      </w:r>
      <w:r w:rsidR="00183F0D">
        <w:t>apply logic to</w:t>
      </w:r>
      <w:r w:rsidR="009C0E4C">
        <w:t xml:space="preserve"> the cr</w:t>
      </w:r>
      <w:r w:rsidR="00183F0D">
        <w:t>eation of sacred space</w:t>
      </w:r>
      <w:r w:rsidR="009C0E4C">
        <w:t>,</w:t>
      </w:r>
      <w:r w:rsidR="008B4E46">
        <w:t xml:space="preserve"> </w:t>
      </w:r>
      <w:r w:rsidR="00E37693">
        <w:t>Vitruvius linked</w:t>
      </w:r>
      <w:r w:rsidR="008B4E46">
        <w:t xml:space="preserve"> </w:t>
      </w:r>
      <w:r w:rsidR="00DF3AF8">
        <w:t xml:space="preserve">Temple design </w:t>
      </w:r>
      <w:r w:rsidR="008A6DA5">
        <w:t xml:space="preserve">to the perfect symmetry and proportioning of the </w:t>
      </w:r>
      <w:r w:rsidR="00D9139E">
        <w:t xml:space="preserve">“finely-shaped </w:t>
      </w:r>
      <w:r w:rsidR="008A6DA5">
        <w:t>human body</w:t>
      </w:r>
      <w:r w:rsidR="00795F78">
        <w:t>.</w:t>
      </w:r>
      <w:r w:rsidR="00DF3AF8">
        <w:t>”</w:t>
      </w:r>
      <w:r w:rsidR="00194A14">
        <w:rPr>
          <w:rStyle w:val="FootnoteReference"/>
        </w:rPr>
        <w:footnoteReference w:id="1"/>
      </w:r>
    </w:p>
    <w:p w:rsidR="00927962" w:rsidRDefault="00795F78" w:rsidP="00BB5DFD">
      <w:pPr>
        <w:spacing w:line="480" w:lineRule="auto"/>
      </w:pPr>
      <w:r>
        <w:tab/>
        <w:t>Is the sacred</w:t>
      </w:r>
      <w:r w:rsidR="00D9139E">
        <w:t>, then, to be embodied solely by</w:t>
      </w:r>
      <w:r w:rsidR="00183F0D">
        <w:t xml:space="preserve"> </w:t>
      </w:r>
      <w:r w:rsidR="00CC3E6F">
        <w:t>rigid, measurable</w:t>
      </w:r>
      <w:r w:rsidR="00D9139E">
        <w:t xml:space="preserve"> perfection? </w:t>
      </w:r>
      <w:r w:rsidR="00267297">
        <w:t xml:space="preserve">Vitruvian tenets of </w:t>
      </w:r>
      <w:r w:rsidR="00D9139E">
        <w:t xml:space="preserve">sacred </w:t>
      </w:r>
      <w:proofErr w:type="spellStart"/>
      <w:r w:rsidR="00D9139E">
        <w:t>placemaking</w:t>
      </w:r>
      <w:proofErr w:type="spellEnd"/>
      <w:r w:rsidR="00D9139E">
        <w:t xml:space="preserve"> </w:t>
      </w:r>
      <w:r w:rsidR="00267297">
        <w:t xml:space="preserve">guided the </w:t>
      </w:r>
      <w:r w:rsidR="00BF29B6">
        <w:t>planners of religious architecture</w:t>
      </w:r>
      <w:r w:rsidR="00267297">
        <w:t xml:space="preserve"> for centuries, surviving in written and built forms to influence </w:t>
      </w:r>
      <w:r w:rsidR="004B7C99">
        <w:t>the canon of works which</w:t>
      </w:r>
      <w:r w:rsidR="00267297">
        <w:t xml:space="preserve"> still inspire architects today</w:t>
      </w:r>
      <w:r w:rsidR="008B2336">
        <w:t>. T</w:t>
      </w:r>
      <w:r>
        <w:t>he postmodernists of the late twentieth century</w:t>
      </w:r>
      <w:r w:rsidR="006F4AD9">
        <w:t xml:space="preserve"> </w:t>
      </w:r>
      <w:r w:rsidR="004B7C99">
        <w:t>asked probing questions</w:t>
      </w:r>
      <w:r w:rsidR="008B2336">
        <w:t>, however</w:t>
      </w:r>
      <w:r w:rsidR="006F4AD9">
        <w:t>;</w:t>
      </w:r>
      <w:r w:rsidR="00785140">
        <w:t xml:space="preserve"> </w:t>
      </w:r>
      <w:r w:rsidR="008B2336">
        <w:t>all</w:t>
      </w:r>
      <w:r w:rsidR="00BF29B6">
        <w:t xml:space="preserve"> </w:t>
      </w:r>
      <w:r w:rsidR="00785140">
        <w:t>convention</w:t>
      </w:r>
      <w:r w:rsidR="006F4AD9">
        <w:t>al wisdom</w:t>
      </w:r>
      <w:r w:rsidR="008B2336">
        <w:t xml:space="preserve"> beca</w:t>
      </w:r>
      <w:r w:rsidR="00267297">
        <w:t>me</w:t>
      </w:r>
      <w:r w:rsidR="00BF29B6">
        <w:t xml:space="preserve"> </w:t>
      </w:r>
      <w:r w:rsidR="006F4AD9">
        <w:t>fair game for scrutiny</w:t>
      </w:r>
      <w:r w:rsidR="00BF29B6">
        <w:t xml:space="preserve">. </w:t>
      </w:r>
      <w:r w:rsidR="00CC3E6F">
        <w:t xml:space="preserve">Robert </w:t>
      </w:r>
      <w:proofErr w:type="spellStart"/>
      <w:r w:rsidR="00CC3E6F">
        <w:t>Venturi</w:t>
      </w:r>
      <w:proofErr w:type="spellEnd"/>
      <w:r w:rsidR="00CC3E6F">
        <w:t>, the architect credited with initiating</w:t>
      </w:r>
      <w:r w:rsidR="008B2336">
        <w:t xml:space="preserve"> postmodernism as a distinct school of</w:t>
      </w:r>
      <w:r w:rsidR="00CC3E6F">
        <w:t xml:space="preserve"> thought</w:t>
      </w:r>
      <w:r w:rsidR="00475D93">
        <w:t xml:space="preserve"> in 1966</w:t>
      </w:r>
      <w:r w:rsidR="00CC3E6F">
        <w:t xml:space="preserve">, </w:t>
      </w:r>
      <w:r w:rsidR="0099397C">
        <w:t>spoke for ‘messy vitality over obvious unity’, implying t</w:t>
      </w:r>
      <w:r w:rsidR="003C651C">
        <w:t>hat humanity is imperfection</w:t>
      </w:r>
      <w:r w:rsidR="0099397C">
        <w:t>.</w:t>
      </w:r>
      <w:r w:rsidR="00194A14">
        <w:rPr>
          <w:rStyle w:val="FootnoteReference"/>
        </w:rPr>
        <w:footnoteReference w:id="2"/>
      </w:r>
      <w:r w:rsidR="008F0529">
        <w:t xml:space="preserve"> Paul Goldberger</w:t>
      </w:r>
      <w:r w:rsidR="00CC3E6F">
        <w:t>, architectural critic,</w:t>
      </w:r>
      <w:r w:rsidR="008F0529">
        <w:t xml:space="preserve"> </w:t>
      </w:r>
      <w:r w:rsidR="004B7C99">
        <w:t xml:space="preserve">asserted </w:t>
      </w:r>
      <w:r w:rsidR="00D12528">
        <w:t>that when we talk of sacred s</w:t>
      </w:r>
      <w:r w:rsidR="00610323">
        <w:t>tructures</w:t>
      </w:r>
      <w:r w:rsidR="00D12528">
        <w:t xml:space="preserve"> in sacred terms, ‘we talk of space, and light’ – not adherence to codified proportion or Order.</w:t>
      </w:r>
      <w:r w:rsidR="00194A14">
        <w:rPr>
          <w:rStyle w:val="FootnoteReference"/>
        </w:rPr>
        <w:footnoteReference w:id="3"/>
      </w:r>
    </w:p>
    <w:p w:rsidR="00D12528" w:rsidRDefault="00C043A5" w:rsidP="00BB5DFD">
      <w:pPr>
        <w:spacing w:line="480" w:lineRule="auto"/>
      </w:pPr>
      <w:r>
        <w:tab/>
      </w:r>
      <w:r w:rsidR="008F0529">
        <w:t>Marlon Blackwell is a contemporary architect</w:t>
      </w:r>
      <w:r w:rsidR="004E500F">
        <w:t xml:space="preserve"> </w:t>
      </w:r>
      <w:r w:rsidR="00772D33">
        <w:t xml:space="preserve">whose works </w:t>
      </w:r>
      <w:r w:rsidR="00CC3E6F">
        <w:t xml:space="preserve">professedly </w:t>
      </w:r>
      <w:r w:rsidR="00772D33">
        <w:t>draw</w:t>
      </w:r>
      <w:r w:rsidR="00216A65">
        <w:t xml:space="preserve"> upon </w:t>
      </w:r>
      <w:r w:rsidR="00772D33">
        <w:t>the contradictions of place</w:t>
      </w:r>
      <w:r w:rsidR="008F0529">
        <w:t>.</w:t>
      </w:r>
      <w:r w:rsidR="004E500F">
        <w:rPr>
          <w:rStyle w:val="FootnoteReference"/>
        </w:rPr>
        <w:footnoteReference w:id="4"/>
      </w:r>
      <w:r w:rsidR="00772D33">
        <w:t xml:space="preserve"> F</w:t>
      </w:r>
      <w:r w:rsidR="004E500F">
        <w:t xml:space="preserve">aced </w:t>
      </w:r>
      <w:r w:rsidR="00772D33">
        <w:t>in 2009 with the challenge of the</w:t>
      </w:r>
      <w:r w:rsidR="004E500F">
        <w:t xml:space="preserve"> sacred program </w:t>
      </w:r>
      <w:r w:rsidR="002059A8">
        <w:t xml:space="preserve">and limited budget </w:t>
      </w:r>
      <w:r w:rsidR="004E500F">
        <w:t>of the St. Nicholas Orthodox Church</w:t>
      </w:r>
      <w:r w:rsidR="00772D33">
        <w:t xml:space="preserve"> in Springdale, Arkansas,</w:t>
      </w:r>
      <w:r w:rsidR="004E500F">
        <w:t xml:space="preserve"> Blackwell produced an</w:t>
      </w:r>
      <w:r w:rsidR="002059A8">
        <w:t xml:space="preserve"> award-winning building.</w:t>
      </w:r>
      <w:r w:rsidR="002F13F9">
        <w:t xml:space="preserve"> </w:t>
      </w:r>
      <w:r w:rsidR="002059A8">
        <w:t>Overtly asymmetrical</w:t>
      </w:r>
      <w:r w:rsidR="004E500F">
        <w:t xml:space="preserve"> </w:t>
      </w:r>
      <w:r w:rsidR="002059A8">
        <w:t xml:space="preserve">and </w:t>
      </w:r>
      <w:r w:rsidR="004E500F">
        <w:t xml:space="preserve">rooted in </w:t>
      </w:r>
      <w:r w:rsidR="00772D33">
        <w:t xml:space="preserve">existing </w:t>
      </w:r>
      <w:r w:rsidR="004E500F">
        <w:t>imperfection</w:t>
      </w:r>
      <w:r w:rsidR="00772D33">
        <w:t xml:space="preserve">s, </w:t>
      </w:r>
      <w:r w:rsidR="002059A8">
        <w:t xml:space="preserve">it seems well outside Vitruvian </w:t>
      </w:r>
      <w:r w:rsidR="002059A8">
        <w:lastRenderedPageBreak/>
        <w:t xml:space="preserve">parameters for built sacredness. </w:t>
      </w:r>
      <w:r w:rsidR="00AC7B30">
        <w:t>I propose to make a study of this building’s</w:t>
      </w:r>
      <w:r w:rsidR="00D12528">
        <w:t xml:space="preserve"> success relative to its denial </w:t>
      </w:r>
      <w:r>
        <w:t>of</w:t>
      </w:r>
      <w:r w:rsidR="00AC7B30">
        <w:t>,</w:t>
      </w:r>
      <w:r>
        <w:t xml:space="preserve"> </w:t>
      </w:r>
      <w:r w:rsidR="00D12528">
        <w:t>or adherence to</w:t>
      </w:r>
      <w:r w:rsidR="00772D33">
        <w:t>, Vitruvian</w:t>
      </w:r>
      <w:r w:rsidR="00772D33" w:rsidRPr="00705C52">
        <w:t xml:space="preserve"> </w:t>
      </w:r>
      <w:r w:rsidR="00705C52" w:rsidRPr="00705C52">
        <w:t>guidelines</w:t>
      </w:r>
      <w:r w:rsidR="00AC7B30">
        <w:t>. I will analyze</w:t>
      </w:r>
      <w:r w:rsidR="00D12528">
        <w:t xml:space="preserve"> its </w:t>
      </w:r>
      <w:r w:rsidR="007E1965">
        <w:t xml:space="preserve">ordering systems, </w:t>
      </w:r>
      <w:r w:rsidR="00D12528">
        <w:t xml:space="preserve">proportions, materials, and </w:t>
      </w:r>
      <w:r w:rsidR="00AC7B30">
        <w:t>symbolism through the use of CAD software, by researching Vitruvius’ principles and those which guide practice today</w:t>
      </w:r>
      <w:r w:rsidR="002059A8">
        <w:t>, and</w:t>
      </w:r>
      <w:r w:rsidR="00AC7B30">
        <w:t xml:space="preserve"> by interviewing</w:t>
      </w:r>
      <w:r w:rsidR="002059A8">
        <w:t xml:space="preserve"> the architect</w:t>
      </w:r>
      <w:r>
        <w:t>.</w:t>
      </w:r>
      <w:r w:rsidR="00194A14">
        <w:t xml:space="preserve"> </w:t>
      </w:r>
      <w:r w:rsidR="00AC7B30">
        <w:t xml:space="preserve">I believe it is </w:t>
      </w:r>
      <w:r w:rsidR="00194A14">
        <w:t>likely</w:t>
      </w:r>
      <w:r w:rsidR="002059A8">
        <w:t xml:space="preserve"> that Vitruvius made his mark on this church, whether or not Blackwell intended for him to.</w:t>
      </w:r>
      <w:r w:rsidR="002764A8">
        <w:t xml:space="preserve"> Indeed, </w:t>
      </w:r>
      <w:r w:rsidR="00772D33">
        <w:t>it would be ironic</w:t>
      </w:r>
      <w:r w:rsidR="002764A8">
        <w:t xml:space="preserve"> if Blackwell’s work has a Vitruvian undercurrent; popular percept</w:t>
      </w:r>
      <w:r w:rsidR="00475D93">
        <w:t>ion of his work is summarized</w:t>
      </w:r>
      <w:r w:rsidR="002764A8">
        <w:t xml:space="preserve"> in an </w:t>
      </w:r>
      <w:proofErr w:type="spellStart"/>
      <w:r w:rsidR="002764A8">
        <w:t>ArchDaily</w:t>
      </w:r>
      <w:proofErr w:type="spellEnd"/>
      <w:r w:rsidR="002764A8">
        <w:t xml:space="preserve"> interview introduction: “</w:t>
      </w:r>
      <w:r w:rsidR="002764A8" w:rsidRPr="002764A8">
        <w:t>Blackwell’s portfolio consists of pristine architecture inspired by the vernaculars, seeking to transgress conventional boundaries of architecture</w:t>
      </w:r>
      <w:r w:rsidR="002764A8">
        <w:t>.”</w:t>
      </w:r>
      <w:r w:rsidR="002764A8">
        <w:rPr>
          <w:rStyle w:val="FootnoteReference"/>
        </w:rPr>
        <w:footnoteReference w:id="5"/>
      </w:r>
      <w:r w:rsidR="00705C52">
        <w:t xml:space="preserve"> Such reverence</w:t>
      </w:r>
      <w:r w:rsidR="00475D93">
        <w:t xml:space="preserve"> for </w:t>
      </w:r>
      <w:r w:rsidR="002764A8">
        <w:t>the locally-inspired a</w:t>
      </w:r>
      <w:r w:rsidR="00CD6EAE">
        <w:t>nd the unconventional would seem</w:t>
      </w:r>
      <w:r w:rsidR="002764A8">
        <w:t xml:space="preserve"> to crowd out</w:t>
      </w:r>
      <w:r w:rsidR="00FB124A">
        <w:t xml:space="preserve"> Vitruvian idealism</w:t>
      </w:r>
      <w:r w:rsidR="00475D93">
        <w:t>, instead embracing postmodernist ideals which value the expression of inherent flaws as the expression of truth.</w:t>
      </w:r>
    </w:p>
    <w:p w:rsidR="006178A8" w:rsidRDefault="002764A8" w:rsidP="00252B7B">
      <w:pPr>
        <w:spacing w:line="480" w:lineRule="auto"/>
      </w:pPr>
      <w:r>
        <w:tab/>
      </w:r>
      <w:r w:rsidR="00705C52">
        <w:t xml:space="preserve">It is the third of the </w:t>
      </w:r>
      <w:r w:rsidR="00705C52">
        <w:rPr>
          <w:i/>
        </w:rPr>
        <w:t>Ten Books</w:t>
      </w:r>
      <w:r w:rsidR="00705C52">
        <w:t xml:space="preserve"> in which Vitruvius handles sacredness, seeking to</w:t>
      </w:r>
      <w:r w:rsidR="00132B05">
        <w:t xml:space="preserve"> “speak of </w:t>
      </w:r>
      <w:r w:rsidR="009F6829">
        <w:t>the temples of the Gods and…</w:t>
      </w:r>
      <w:r w:rsidR="00132B05">
        <w:t>set them out in detail in a proper manner.”</w:t>
      </w:r>
      <w:r w:rsidR="00132B05">
        <w:rPr>
          <w:rStyle w:val="FootnoteReference"/>
        </w:rPr>
        <w:footnoteReference w:id="6"/>
      </w:r>
      <w:r w:rsidR="009F6829">
        <w:t xml:space="preserve"> </w:t>
      </w:r>
      <w:r w:rsidR="00303765">
        <w:t>He contends that just as common m</w:t>
      </w:r>
      <w:r w:rsidR="00705C52">
        <w:t>easurements (the foot, etc.</w:t>
      </w:r>
      <w:r w:rsidR="00303765">
        <w:t xml:space="preserve">) are derived from the human body, </w:t>
      </w:r>
      <w:r w:rsidR="009F6829">
        <w:t xml:space="preserve">so should </w:t>
      </w:r>
      <w:r w:rsidR="00705C52">
        <w:t>temple proportions be derived</w:t>
      </w:r>
      <w:r w:rsidR="009F6829">
        <w:t>, and that this</w:t>
      </w:r>
      <w:r w:rsidR="00303765">
        <w:t xml:space="preserve"> can be observed in the work of the ancients.</w:t>
      </w:r>
      <w:r w:rsidR="00303765">
        <w:rPr>
          <w:rStyle w:val="FootnoteReference"/>
        </w:rPr>
        <w:footnoteReference w:id="7"/>
      </w:r>
      <w:r w:rsidR="003E69DA">
        <w:t xml:space="preserve"> </w:t>
      </w:r>
      <w:r w:rsidR="009F6829">
        <w:t>He further implies that the ancients were aware of the enduring quality of their temples, taking care that</w:t>
      </w:r>
      <w:r w:rsidR="003E69DA">
        <w:t xml:space="preserve"> correct design </w:t>
      </w:r>
      <w:r w:rsidR="009F6829">
        <w:t xml:space="preserve">be demonstrated in them </w:t>
      </w:r>
      <w:r w:rsidR="003E69DA">
        <w:t>so that it might be passed down.</w:t>
      </w:r>
      <w:r w:rsidR="003E69DA">
        <w:rPr>
          <w:rStyle w:val="FootnoteReference"/>
        </w:rPr>
        <w:footnoteReference w:id="8"/>
      </w:r>
      <w:r w:rsidR="003E69DA">
        <w:t xml:space="preserve"> </w:t>
      </w:r>
      <w:r w:rsidR="008208EB">
        <w:t>Vitruvius’ literal interpretations extol</w:t>
      </w:r>
      <w:r w:rsidR="009F6829">
        <w:t xml:space="preserve"> the ancients</w:t>
      </w:r>
      <w:r w:rsidR="003E69DA">
        <w:t xml:space="preserve"> as</w:t>
      </w:r>
      <w:r w:rsidR="008208EB">
        <w:t xml:space="preserve"> having been the ultimate guides to sacred design, the source</w:t>
      </w:r>
      <w:r w:rsidR="003E69DA">
        <w:t xml:space="preserve"> of unsurpassable wisd</w:t>
      </w:r>
      <w:r w:rsidR="008208EB">
        <w:t xml:space="preserve">om that can only be absorbed </w:t>
      </w:r>
      <w:r w:rsidR="003E69DA">
        <w:t>and emulated</w:t>
      </w:r>
      <w:r w:rsidR="00705C52">
        <w:t>-</w:t>
      </w:r>
      <w:r w:rsidR="003E69DA">
        <w:t xml:space="preserve"> not altered.</w:t>
      </w:r>
    </w:p>
    <w:p w:rsidR="009C398F" w:rsidRDefault="00413274" w:rsidP="009C398F">
      <w:pPr>
        <w:spacing w:line="480" w:lineRule="auto"/>
        <w:ind w:firstLine="720"/>
      </w:pPr>
      <w:r>
        <w:t xml:space="preserve">As Paul Goldberger says, “In the quest to create sacred space, then, architecture is in a way working against itself, working against its nature, we might say, since it must struggle to use the material </w:t>
      </w:r>
      <w:r>
        <w:lastRenderedPageBreak/>
        <w:t>to express what transcends the material.”</w:t>
      </w:r>
      <w:r>
        <w:rPr>
          <w:rStyle w:val="FootnoteReference"/>
        </w:rPr>
        <w:footnoteReference w:id="9"/>
      </w:r>
      <w:r>
        <w:t xml:space="preserve"> The very practice</w:t>
      </w:r>
      <w:r w:rsidR="000753CA">
        <w:t xml:space="preserve"> of architecture is a paradox; w</w:t>
      </w:r>
      <w:r>
        <w:t xml:space="preserve">e unite </w:t>
      </w:r>
      <w:r w:rsidR="000753CA">
        <w:t>im</w:t>
      </w:r>
      <w:r>
        <w:t xml:space="preserve">materiality with material. Far beyond </w:t>
      </w:r>
      <w:r w:rsidR="000753CA">
        <w:t xml:space="preserve">facilitating </w:t>
      </w:r>
      <w:r>
        <w:t>function, sacred architecture</w:t>
      </w:r>
      <w:r w:rsidR="000753CA">
        <w:t xml:space="preserve"> seeks to reflect, complement, and even aid human attempts at grasping that which explains the physical w</w:t>
      </w:r>
      <w:r w:rsidR="00FB124A">
        <w:t xml:space="preserve">orld- a </w:t>
      </w:r>
      <w:r w:rsidR="000753CA">
        <w:t>hidden grain of meaning forever lying just out of reach even for the most de</w:t>
      </w:r>
      <w:r w:rsidR="004B098C">
        <w:t>vout priest. I perceive both methods to be valid- both</w:t>
      </w:r>
      <w:r w:rsidR="000753CA">
        <w:t xml:space="preserve"> postmodernist expression of</w:t>
      </w:r>
      <w:r w:rsidR="00157BDF">
        <w:t xml:space="preserve"> </w:t>
      </w:r>
      <w:r w:rsidR="004B098C">
        <w:t>contradiction and Vitruvian regulation</w:t>
      </w:r>
      <w:r w:rsidR="00157BDF">
        <w:t xml:space="preserve"> of perfection</w:t>
      </w:r>
      <w:r w:rsidR="004B098C">
        <w:t>. I think</w:t>
      </w:r>
      <w:r w:rsidR="00157BDF">
        <w:t xml:space="preserve"> both attempt to materialize an ultimate truth, but through inclusiveness and exclusiveness respectively.</w:t>
      </w:r>
    </w:p>
    <w:p w:rsidR="00413274" w:rsidRDefault="00F61752" w:rsidP="009C398F">
      <w:pPr>
        <w:spacing w:line="480" w:lineRule="auto"/>
        <w:ind w:firstLine="720"/>
      </w:pPr>
      <w:r>
        <w:t>Marlon Blackwell believes</w:t>
      </w:r>
      <w:r w:rsidR="00BD0E18">
        <w:t xml:space="preserve"> architecture can h</w:t>
      </w:r>
      <w:r w:rsidR="004B098C">
        <w:t>appen anywhere and on any scale</w:t>
      </w:r>
      <w:r w:rsidR="00BF161E">
        <w:t>- essentially</w:t>
      </w:r>
      <w:r w:rsidR="00BD0E18">
        <w:t xml:space="preserve"> </w:t>
      </w:r>
      <w:r>
        <w:t>refusing</w:t>
      </w:r>
      <w:r w:rsidR="00BD0E18">
        <w:t xml:space="preserve"> to be exclusive</w:t>
      </w:r>
      <w:r w:rsidR="009C398F">
        <w:t>.</w:t>
      </w:r>
      <w:r w:rsidR="009C398F">
        <w:rPr>
          <w:rStyle w:val="FootnoteReference"/>
        </w:rPr>
        <w:footnoteReference w:id="10"/>
      </w:r>
      <w:r w:rsidR="004B098C">
        <w:t xml:space="preserve"> The firm describes the</w:t>
      </w:r>
      <w:r w:rsidR="009C398F">
        <w:t xml:space="preserve"> St. Nicholas</w:t>
      </w:r>
      <w:r w:rsidR="00BD1012">
        <w:t xml:space="preserve"> Eastern Orthodox Church </w:t>
      </w:r>
      <w:r w:rsidR="009C398F">
        <w:t>as a ‘…generic shop building [transformed] into a pl</w:t>
      </w:r>
      <w:r w:rsidR="0027692D">
        <w:t xml:space="preserve">ace of worship and fellowship.’ </w:t>
      </w:r>
      <w:r w:rsidR="009C398F">
        <w:rPr>
          <w:rStyle w:val="FootnoteReference"/>
        </w:rPr>
        <w:footnoteReference w:id="11"/>
      </w:r>
      <w:r w:rsidR="00867D43">
        <w:t xml:space="preserve"> </w:t>
      </w:r>
      <w:r w:rsidR="00867D43">
        <w:t xml:space="preserve">Blackwell sought to transcend </w:t>
      </w:r>
      <w:r w:rsidR="00867D43">
        <w:t>t</w:t>
      </w:r>
      <w:r w:rsidR="00F2539E">
        <w:t>he existing structure’</w:t>
      </w:r>
      <w:r>
        <w:t>s secul</w:t>
      </w:r>
      <w:r w:rsidR="00BF161E">
        <w:t xml:space="preserve">ar nature directly </w:t>
      </w:r>
      <w:r w:rsidR="00D97EE6">
        <w:t>through r</w:t>
      </w:r>
      <w:r w:rsidR="00FB124A">
        <w:t xml:space="preserve">eorientation and demarcation. </w:t>
      </w:r>
      <w:r w:rsidR="00610323">
        <w:t>A</w:t>
      </w:r>
      <w:r w:rsidR="00FB124A">
        <w:t xml:space="preserve"> modest western addition</w:t>
      </w:r>
      <w:r w:rsidR="00D97EE6">
        <w:t xml:space="preserve"> ‘folded’ </w:t>
      </w:r>
      <w:r w:rsidR="00FB124A">
        <w:t xml:space="preserve">the narthex </w:t>
      </w:r>
      <w:r w:rsidR="00D97EE6">
        <w:t>at the western main entry,</w:t>
      </w:r>
      <w:r>
        <w:t xml:space="preserve"> reorienting</w:t>
      </w:r>
      <w:r w:rsidR="00610323">
        <w:t xml:space="preserve"> along the traditional east-west axis</w:t>
      </w:r>
      <w:r w:rsidR="00FB124A">
        <w:t xml:space="preserve">. </w:t>
      </w:r>
      <w:r>
        <w:t>The</w:t>
      </w:r>
      <w:r w:rsidR="00D97EE6">
        <w:t xml:space="preserve"> tower</w:t>
      </w:r>
      <w:r>
        <w:t xml:space="preserve"> demarcates the chapel threshold</w:t>
      </w:r>
      <w:r w:rsidR="00FB124A">
        <w:t>,</w:t>
      </w:r>
      <w:r>
        <w:t xml:space="preserve"> with ‘red light pour[</w:t>
      </w:r>
      <w:proofErr w:type="spellStart"/>
      <w:r>
        <w:t>ing</w:t>
      </w:r>
      <w:proofErr w:type="spellEnd"/>
      <w:r>
        <w:t>]</w:t>
      </w:r>
      <w:r w:rsidR="00AB2E01">
        <w:t xml:space="preserve"> down…giving a moment of pause before</w:t>
      </w:r>
      <w:r>
        <w:t xml:space="preserve"> enterin</w:t>
      </w:r>
      <w:r w:rsidR="00216A65">
        <w:t>g to worship…</w:t>
      </w:r>
      <w:r>
        <w:t xml:space="preserve"> </w:t>
      </w:r>
      <w:r w:rsidR="00216A65">
        <w:t xml:space="preserve">[and </w:t>
      </w:r>
      <w:r>
        <w:t>serving as</w:t>
      </w:r>
      <w:r w:rsidR="00216A65">
        <w:t xml:space="preserve">] </w:t>
      </w:r>
      <w:r w:rsidR="00AB2E01">
        <w:t>a beacon for arriving parishioners.’</w:t>
      </w:r>
      <w:r w:rsidR="00AB2E01">
        <w:rPr>
          <w:rStyle w:val="FootnoteReference"/>
        </w:rPr>
        <w:footnoteReference w:id="12"/>
      </w:r>
      <w:r w:rsidR="00AB2E01">
        <w:t xml:space="preserve"> Mo</w:t>
      </w:r>
      <w:r w:rsidR="004B098C">
        <w:t>re indirect were his finish choices</w:t>
      </w:r>
      <w:r w:rsidR="00AB2E01">
        <w:t xml:space="preserve">- an </w:t>
      </w:r>
      <w:r w:rsidR="004B098C">
        <w:t>exterior</w:t>
      </w:r>
      <w:r w:rsidR="00AB2E01">
        <w:t xml:space="preserve"> shell of upgraded box </w:t>
      </w:r>
      <w:r w:rsidR="00867D43">
        <w:t>rib metal</w:t>
      </w:r>
      <w:r w:rsidR="004B098C">
        <w:t xml:space="preserve"> that nods</w:t>
      </w:r>
      <w:r>
        <w:t xml:space="preserve"> to the</w:t>
      </w:r>
      <w:r w:rsidR="00AB2E01">
        <w:t xml:space="preserve"> metal building vernacular, and simple interior finishes.</w:t>
      </w:r>
      <w:r w:rsidR="00AB2E01">
        <w:rPr>
          <w:rStyle w:val="FootnoteReference"/>
        </w:rPr>
        <w:footnoteReference w:id="13"/>
      </w:r>
      <w:r>
        <w:t xml:space="preserve"> T</w:t>
      </w:r>
      <w:r w:rsidR="00610323">
        <w:t>he</w:t>
      </w:r>
      <w:r w:rsidR="009B08B5">
        <w:t xml:space="preserve"> orthogonal</w:t>
      </w:r>
      <w:r w:rsidR="00AB2E01">
        <w:t xml:space="preserve"> for</w:t>
      </w:r>
      <w:r w:rsidR="00610323">
        <w:t>ms and quality materials express</w:t>
      </w:r>
      <w:r w:rsidR="00AB2E01">
        <w:t xml:space="preserve"> humble roots and </w:t>
      </w:r>
      <w:r w:rsidR="001F63B6">
        <w:t>sacred intent</w:t>
      </w:r>
      <w:r>
        <w:t xml:space="preserve"> on a budget</w:t>
      </w:r>
      <w:r w:rsidR="00BF161E">
        <w:t xml:space="preserve">, but </w:t>
      </w:r>
      <w:r w:rsidR="000A740D">
        <w:t>Blackwell’s client</w:t>
      </w:r>
      <w:r w:rsidR="00BF161E">
        <w:t xml:space="preserve"> also</w:t>
      </w:r>
      <w:r w:rsidR="000A740D">
        <w:t xml:space="preserve"> required a degree of reference to the past.</w:t>
      </w:r>
    </w:p>
    <w:p w:rsidR="00BD0D4C" w:rsidRDefault="000A740D" w:rsidP="009C398F">
      <w:pPr>
        <w:spacing w:line="480" w:lineRule="auto"/>
        <w:ind w:firstLine="720"/>
      </w:pPr>
      <w:r>
        <w:t xml:space="preserve">The </w:t>
      </w:r>
      <w:r w:rsidR="00722E8D">
        <w:t>client is a part of t</w:t>
      </w:r>
      <w:r w:rsidR="00BD0D4C">
        <w:t xml:space="preserve">he </w:t>
      </w:r>
      <w:proofErr w:type="spellStart"/>
      <w:r w:rsidR="00BD0D4C">
        <w:t>Antiochian</w:t>
      </w:r>
      <w:proofErr w:type="spellEnd"/>
      <w:r w:rsidR="00BD0D4C">
        <w:t xml:space="preserve"> Orthodox Churc</w:t>
      </w:r>
      <w:r w:rsidR="002E11C0">
        <w:t>h</w:t>
      </w:r>
      <w:r w:rsidR="00722E8D">
        <w:t xml:space="preserve">, who </w:t>
      </w:r>
      <w:r w:rsidR="002E11C0">
        <w:t>declares her</w:t>
      </w:r>
      <w:r w:rsidR="00BD0D4C">
        <w:t>self to be the oldest of Christian churches</w:t>
      </w:r>
      <w:r w:rsidR="00DB038D">
        <w:t xml:space="preserve">, the original first </w:t>
      </w:r>
      <w:r w:rsidR="00722E8D">
        <w:t>recognized</w:t>
      </w:r>
      <w:r w:rsidR="00DB038D">
        <w:t xml:space="preserve"> by Jesus Himself, with </w:t>
      </w:r>
      <w:r w:rsidR="00C16219">
        <w:t>teachings and practices intact</w:t>
      </w:r>
      <w:r w:rsidR="00DB038D">
        <w:t xml:space="preserve"> </w:t>
      </w:r>
      <w:proofErr w:type="gramStart"/>
      <w:r w:rsidR="00DB038D">
        <w:lastRenderedPageBreak/>
        <w:t>after</w:t>
      </w:r>
      <w:proofErr w:type="gramEnd"/>
      <w:r w:rsidR="00DB038D">
        <w:t xml:space="preserve"> 2000 years.</w:t>
      </w:r>
      <w:r w:rsidR="00DB038D">
        <w:rPr>
          <w:rStyle w:val="FootnoteReference"/>
        </w:rPr>
        <w:footnoteReference w:id="14"/>
      </w:r>
      <w:r w:rsidR="00DB038D">
        <w:t xml:space="preserve"> The passing of years is marked by continuous ritual, </w:t>
      </w:r>
      <w:r w:rsidR="00722E8D">
        <w:t>underscored</w:t>
      </w:r>
      <w:r w:rsidR="002E11C0">
        <w:t xml:space="preserve"> by a changing of </w:t>
      </w:r>
      <w:r w:rsidR="00867D43">
        <w:t>colored ritual cloths</w:t>
      </w:r>
      <w:r w:rsidR="002E11C0">
        <w:t>.</w:t>
      </w:r>
      <w:r w:rsidR="002E11C0">
        <w:rPr>
          <w:rStyle w:val="FootnoteReference"/>
        </w:rPr>
        <w:footnoteReference w:id="15"/>
      </w:r>
      <w:r w:rsidR="008611B5">
        <w:t xml:space="preserve"> </w:t>
      </w:r>
      <w:r w:rsidR="00BF161E">
        <w:t>T</w:t>
      </w:r>
      <w:r w:rsidR="002E11C0">
        <w:t>he ch</w:t>
      </w:r>
      <w:r w:rsidR="00BF161E">
        <w:t>urch interior</w:t>
      </w:r>
      <w:r>
        <w:t xml:space="preserve"> </w:t>
      </w:r>
      <w:r w:rsidR="00BF161E">
        <w:t>explicitly must include:</w:t>
      </w:r>
      <w:r w:rsidR="002E11C0">
        <w:t xml:space="preserve"> a dome bearing the special depiction of Jesus as </w:t>
      </w:r>
      <w:proofErr w:type="spellStart"/>
      <w:r w:rsidR="002E11C0">
        <w:t>Pantocrator</w:t>
      </w:r>
      <w:proofErr w:type="spellEnd"/>
      <w:r w:rsidR="002E11C0">
        <w:t xml:space="preserve"> (o</w:t>
      </w:r>
      <w:r w:rsidR="00C74840">
        <w:t>mnipotent lord of the universe);</w:t>
      </w:r>
      <w:r w:rsidR="002E11C0">
        <w:t xml:space="preserve"> </w:t>
      </w:r>
      <w:r w:rsidR="00C74840">
        <w:t>an eastern altar;</w:t>
      </w:r>
      <w:r w:rsidR="002E11C0">
        <w:t xml:space="preserve"> a three-part scheme of narthex</w:t>
      </w:r>
      <w:r w:rsidR="00C74840">
        <w:t xml:space="preserve"> (or </w:t>
      </w:r>
      <w:r w:rsidR="00867D43">
        <w:t xml:space="preserve">church </w:t>
      </w:r>
      <w:r w:rsidR="00C74840">
        <w:t>entry)</w:t>
      </w:r>
      <w:r w:rsidR="002E11C0">
        <w:t xml:space="preserve">, </w:t>
      </w:r>
      <w:r w:rsidR="002F2772">
        <w:t>nave (or</w:t>
      </w:r>
      <w:r w:rsidR="00C74840">
        <w:t xml:space="preserve"> </w:t>
      </w:r>
      <w:r w:rsidR="00867D43">
        <w:t>body of the church</w:t>
      </w:r>
      <w:r w:rsidR="00C74840">
        <w:t>)</w:t>
      </w:r>
      <w:r w:rsidR="002E11C0">
        <w:t xml:space="preserve">, </w:t>
      </w:r>
      <w:r w:rsidR="00C74840">
        <w:t>and sanctuary (</w:t>
      </w:r>
      <w:r w:rsidR="00722E8D">
        <w:t xml:space="preserve">or </w:t>
      </w:r>
      <w:r w:rsidR="00C74840">
        <w:t>altar); and a physical barrier separating nave and sanctua</w:t>
      </w:r>
      <w:r w:rsidR="00722E8D">
        <w:t>ry called the iconostasis.</w:t>
      </w:r>
      <w:r w:rsidR="00BD1012">
        <w:t xml:space="preserve"> </w:t>
      </w:r>
      <w:r w:rsidR="00722E8D">
        <w:t xml:space="preserve">This barrier must contain </w:t>
      </w:r>
      <w:r>
        <w:t xml:space="preserve">depictions of icons for veneration </w:t>
      </w:r>
      <w:r w:rsidR="00C74840">
        <w:t xml:space="preserve">and </w:t>
      </w:r>
      <w:r w:rsidR="00722E8D">
        <w:t xml:space="preserve">three gates </w:t>
      </w:r>
      <w:r>
        <w:t>for passage between the heavenly and earthly realms</w:t>
      </w:r>
      <w:r w:rsidR="00C74840">
        <w:t>.</w:t>
      </w:r>
      <w:r w:rsidR="002E11C0">
        <w:rPr>
          <w:rStyle w:val="FootnoteReference"/>
        </w:rPr>
        <w:footnoteReference w:id="16"/>
      </w:r>
      <w:r w:rsidR="002E11C0">
        <w:t xml:space="preserve"> </w:t>
      </w:r>
      <w:r w:rsidR="002E11C0">
        <w:rPr>
          <w:rStyle w:val="FootnoteReference"/>
        </w:rPr>
        <w:footnoteReference w:id="17"/>
      </w:r>
      <w:r w:rsidR="002A739C">
        <w:t xml:space="preserve"> Numbers (especially 2, 3, 5, 7, 9, an</w:t>
      </w:r>
      <w:r w:rsidR="002F2772">
        <w:t xml:space="preserve">d 13) are also symbolic in Orthodox </w:t>
      </w:r>
      <w:proofErr w:type="gramStart"/>
      <w:r w:rsidR="002F2772">
        <w:t>church</w:t>
      </w:r>
      <w:proofErr w:type="gramEnd"/>
      <w:r w:rsidR="002F2772">
        <w:t xml:space="preserve"> design</w:t>
      </w:r>
      <w:r w:rsidR="00D931B7">
        <w:t>.</w:t>
      </w:r>
      <w:r w:rsidR="00D931B7">
        <w:rPr>
          <w:rStyle w:val="FootnoteReference"/>
        </w:rPr>
        <w:footnoteReference w:id="18"/>
      </w:r>
      <w:r w:rsidR="00D931B7">
        <w:t xml:space="preserve"> </w:t>
      </w:r>
      <w:r w:rsidR="00EB7447">
        <w:t xml:space="preserve">Blackwell had to </w:t>
      </w:r>
      <w:r w:rsidR="00610323">
        <w:t>adhere to these guidelines</w:t>
      </w:r>
      <w:r w:rsidR="00EB7447">
        <w:t>, as the church must maintain the</w:t>
      </w:r>
      <w:r w:rsidR="008D5C17">
        <w:t xml:space="preserve"> </w:t>
      </w:r>
      <w:r w:rsidR="00EB7447">
        <w:t>regional Bishop’s blessing</w:t>
      </w:r>
      <w:r>
        <w:t xml:space="preserve"> to be legitimate</w:t>
      </w:r>
      <w:r w:rsidR="008D5C17">
        <w:t>.</w:t>
      </w:r>
      <w:r w:rsidR="00A12350">
        <w:rPr>
          <w:rStyle w:val="FootnoteReference"/>
        </w:rPr>
        <w:footnoteReference w:id="19"/>
      </w:r>
    </w:p>
    <w:p w:rsidR="00331DA5" w:rsidRDefault="00A12350" w:rsidP="00B31323">
      <w:pPr>
        <w:spacing w:line="480" w:lineRule="auto"/>
        <w:ind w:firstLine="720"/>
      </w:pPr>
      <w:r>
        <w:t>In an interview with Architectural Record, Blackwell was asked about the process involved in c</w:t>
      </w:r>
      <w:r w:rsidR="002F2772">
        <w:t>reating t</w:t>
      </w:r>
      <w:r w:rsidR="00B31323">
        <w:t xml:space="preserve">he St. Nicholas Church. He stated that a combined understanding of the </w:t>
      </w:r>
      <w:proofErr w:type="spellStart"/>
      <w:r w:rsidR="00B31323">
        <w:t>Antiochian</w:t>
      </w:r>
      <w:proofErr w:type="spellEnd"/>
      <w:r w:rsidR="00B31323">
        <w:t xml:space="preserve"> Orthodox Church and the budget led to reference</w:t>
      </w:r>
      <w:r w:rsidR="00BF161E">
        <w:t xml:space="preserve"> of</w:t>
      </w:r>
      <w:r w:rsidR="00B31323">
        <w:t xml:space="preserve"> ‘classical Greek proportioning’ </w:t>
      </w:r>
      <w:r w:rsidR="00BF161E">
        <w:t>rather than</w:t>
      </w:r>
      <w:r w:rsidR="00B31323">
        <w:t xml:space="preserve"> </w:t>
      </w:r>
      <w:r w:rsidR="00BF161E">
        <w:t xml:space="preserve">traditional </w:t>
      </w:r>
      <w:r w:rsidR="00B31323">
        <w:t>ornament, masonry</w:t>
      </w:r>
      <w:r w:rsidR="00BF161E">
        <w:t>, and</w:t>
      </w:r>
      <w:r w:rsidR="006924B5">
        <w:t xml:space="preserve"> form</w:t>
      </w:r>
      <w:r w:rsidR="00B31323">
        <w:t>.</w:t>
      </w:r>
      <w:r w:rsidR="00331DA5">
        <w:rPr>
          <w:rStyle w:val="FootnoteReference"/>
        </w:rPr>
        <w:footnoteReference w:id="20"/>
      </w:r>
      <w:r w:rsidR="00B31323">
        <w:t xml:space="preserve"> </w:t>
      </w:r>
      <w:r w:rsidR="00BF161E">
        <w:t>I asked Blackwell</w:t>
      </w:r>
      <w:r w:rsidR="00403E4C">
        <w:t xml:space="preserve"> what specific proportions and precedents he utilized, and he pointed to ‘golden’ proportioning, a modernist </w:t>
      </w:r>
      <w:proofErr w:type="spellStart"/>
      <w:r w:rsidR="00403E4C">
        <w:t>Antiochian</w:t>
      </w:r>
      <w:proofErr w:type="spellEnd"/>
      <w:r w:rsidR="00403E4C">
        <w:t xml:space="preserve"> church (Santa Maria Church in Marco de </w:t>
      </w:r>
      <w:proofErr w:type="spellStart"/>
      <w:r w:rsidR="00403E4C">
        <w:t>Canaveses</w:t>
      </w:r>
      <w:proofErr w:type="spellEnd"/>
      <w:r w:rsidR="00403E4C">
        <w:t xml:space="preserve">, Portugal by Alvaro </w:t>
      </w:r>
      <w:proofErr w:type="spellStart"/>
      <w:r w:rsidR="00403E4C">
        <w:t>Siza</w:t>
      </w:r>
      <w:proofErr w:type="spellEnd"/>
      <w:r w:rsidR="00403E4C">
        <w:t>)</w:t>
      </w:r>
      <w:r w:rsidR="00AB01ED">
        <w:t xml:space="preserve">, and a </w:t>
      </w:r>
      <w:r w:rsidR="00403E4C">
        <w:t xml:space="preserve">traditional </w:t>
      </w:r>
      <w:proofErr w:type="spellStart"/>
      <w:r w:rsidR="00403E4C">
        <w:t>Antiochian</w:t>
      </w:r>
      <w:proofErr w:type="spellEnd"/>
      <w:r w:rsidR="00403E4C">
        <w:t xml:space="preserve"> ch</w:t>
      </w:r>
      <w:r w:rsidR="00AB01ED">
        <w:t>urch</w:t>
      </w:r>
      <w:r w:rsidR="00403E4C">
        <w:t xml:space="preserve"> (</w:t>
      </w:r>
      <w:r w:rsidR="00403E4C" w:rsidRPr="00403E4C">
        <w:t>Saint John th</w:t>
      </w:r>
      <w:r w:rsidR="00403E4C">
        <w:t>e Baptist Greek Orthodox Church in</w:t>
      </w:r>
      <w:r w:rsidR="00403E4C" w:rsidRPr="00403E4C">
        <w:t xml:space="preserve"> Chicago, Il</w:t>
      </w:r>
      <w:r w:rsidR="00C16219">
        <w:t>linois</w:t>
      </w:r>
      <w:r w:rsidR="00403E4C">
        <w:t xml:space="preserve">). </w:t>
      </w:r>
      <w:r w:rsidR="00AB01ED">
        <w:t>Both precedents divide façades into thirds and employ golden proportioning heavily in massing and façade work.</w:t>
      </w:r>
    </w:p>
    <w:p w:rsidR="00331DA5" w:rsidRDefault="00331DA5" w:rsidP="00331DA5">
      <w:pPr>
        <w:spacing w:line="480" w:lineRule="auto"/>
      </w:pPr>
      <w:r>
        <w:tab/>
      </w:r>
      <w:r w:rsidR="00626310">
        <w:t>Working from plan, section, and elevation, the Greek proportions reveal themselve</w:t>
      </w:r>
      <w:r w:rsidR="00610323">
        <w:t>s. In plan, the ten-foot western addition</w:t>
      </w:r>
      <w:r w:rsidR="00626310">
        <w:t xml:space="preserve"> </w:t>
      </w:r>
      <w:r w:rsidR="00610323">
        <w:t>formed halves</w:t>
      </w:r>
      <w:r w:rsidR="00626310">
        <w:t xml:space="preserve">: two golden sections side by side, east-west oriented. The </w:t>
      </w:r>
      <w:r w:rsidR="00626310">
        <w:lastRenderedPageBreak/>
        <w:t>south half contains en</w:t>
      </w:r>
      <w:r w:rsidR="00610323">
        <w:t>try, support, and overflow</w:t>
      </w:r>
      <w:r w:rsidR="00626310">
        <w:t xml:space="preserve">, while the north half holds </w:t>
      </w:r>
      <w:r w:rsidR="00125353">
        <w:t>narthex</w:t>
      </w:r>
      <w:r w:rsidR="00626310">
        <w:t>, nave, and sanctuary</w:t>
      </w:r>
      <w:r w:rsidR="005E5E3B">
        <w:t xml:space="preserve">. By superimposing two more golden sections oriented north-south, the narthex-nave and nave-sanctuary thresholds are located – the physical divisions between earthly and heavenly realms in a holy three-part scheme. </w:t>
      </w:r>
      <w:r w:rsidR="00C43F47">
        <w:t>The overflow doors echo the golden section; instead of being equal, one is larger. The swinging-arc origins of the golden section itself are referenced through the swinging motion of the doors</w:t>
      </w:r>
      <w:r w:rsidR="00C43F47">
        <w:t xml:space="preserve">. </w:t>
      </w:r>
      <w:r w:rsidR="005E5E3B">
        <w:t>In section (</w:t>
      </w:r>
      <w:r w:rsidR="00EB7447">
        <w:t xml:space="preserve">with </w:t>
      </w:r>
      <w:r w:rsidR="005E5E3B">
        <w:t xml:space="preserve">cut taken interior to the western façade), another three-part division of spaces is found, but with three squares as its base. The south third contains the densest portion of support spaces, even extending into a second story; the middle third gives form to the transition from worldly to holy by canting the narthex ceiling plane down across a golden section within the square toward the base of the tower; the north third is most clearly controlled by the golden section, with </w:t>
      </w:r>
      <w:r w:rsidR="00EB7447">
        <w:t xml:space="preserve">a </w:t>
      </w:r>
      <w:r w:rsidR="005E5E3B">
        <w:t>small</w:t>
      </w:r>
      <w:r w:rsidR="00EB7447">
        <w:t>er</w:t>
      </w:r>
      <w:r w:rsidR="000A740D">
        <w:t xml:space="preserve"> square inscribing</w:t>
      </w:r>
      <w:r w:rsidR="005E5E3B">
        <w:t xml:space="preserve"> the </w:t>
      </w:r>
      <w:r w:rsidR="0043773E">
        <w:t xml:space="preserve">turn from narthex to nave at the tower’s base, and with golden sections stacked twice </w:t>
      </w:r>
      <w:r w:rsidR="00EB7447">
        <w:t>atop the</w:t>
      </w:r>
      <w:r w:rsidR="0043773E">
        <w:t xml:space="preserve"> small square to form the tower. In elevation, along the western façade where principal entry is made and which faces the interstate, the three-square d</w:t>
      </w:r>
      <w:r w:rsidR="00EB7447">
        <w:t>ivision is sub</w:t>
      </w:r>
      <w:r w:rsidR="0043773E">
        <w:t>divided by golden sections</w:t>
      </w:r>
      <w:r w:rsidR="00EB7447">
        <w:t xml:space="preserve"> which dictate</w:t>
      </w:r>
      <w:r w:rsidR="0043773E">
        <w:t xml:space="preserve"> the locations and sizes of the </w:t>
      </w:r>
      <w:r w:rsidR="00EB7447">
        <w:t>corner windows and main door.</w:t>
      </w:r>
      <w:r w:rsidR="00C43F47">
        <w:t xml:space="preserve"> </w:t>
      </w:r>
      <w:r w:rsidR="0043773E">
        <w:t>Also notable is Blackwell’s incorporation of</w:t>
      </w:r>
      <w:r w:rsidR="00EB7447">
        <w:t xml:space="preserve"> liturgical colors within the Greek </w:t>
      </w:r>
      <w:r w:rsidR="0043773E">
        <w:t>geometries</w:t>
      </w:r>
      <w:r w:rsidR="007D40C1">
        <w:t xml:space="preserve"> by way of colored glass and interior paint</w:t>
      </w:r>
      <w:r w:rsidR="0043773E">
        <w:t>: yellow (or gold) at the entry for the Lord, red</w:t>
      </w:r>
      <w:r w:rsidR="007D40C1">
        <w:t xml:space="preserve"> at the tower for the Cross,</w:t>
      </w:r>
      <w:r w:rsidR="0043773E">
        <w:t xml:space="preserve"> </w:t>
      </w:r>
      <w:r w:rsidR="007D40C1">
        <w:t xml:space="preserve">blue at the choir for the </w:t>
      </w:r>
      <w:proofErr w:type="spellStart"/>
      <w:r w:rsidR="007D40C1">
        <w:t>Theotokos</w:t>
      </w:r>
      <w:proofErr w:type="spellEnd"/>
      <w:r w:rsidR="007D40C1">
        <w:t xml:space="preserve"> (Mary), and white at the eastern altar for Jesus Christ resurrected.</w:t>
      </w:r>
      <w:r w:rsidR="00EB7447">
        <w:rPr>
          <w:rStyle w:val="FootnoteReference"/>
        </w:rPr>
        <w:footnoteReference w:id="21"/>
      </w:r>
    </w:p>
    <w:p w:rsidR="0097206A" w:rsidRDefault="00004736" w:rsidP="00331DA5">
      <w:pPr>
        <w:spacing w:line="480" w:lineRule="auto"/>
      </w:pPr>
      <w:r>
        <w:tab/>
      </w:r>
      <w:r w:rsidR="00153B22">
        <w:t>A</w:t>
      </w:r>
      <w:r w:rsidR="00E86CC1">
        <w:t xml:space="preserve">s the </w:t>
      </w:r>
      <w:proofErr w:type="spellStart"/>
      <w:r w:rsidR="00E86CC1">
        <w:t>Antiochi</w:t>
      </w:r>
      <w:r w:rsidR="008152E8">
        <w:t>an</w:t>
      </w:r>
      <w:proofErr w:type="spellEnd"/>
      <w:r w:rsidR="008152E8">
        <w:t xml:space="preserve"> Orthodox Church continues</w:t>
      </w:r>
      <w:r w:rsidR="00E86CC1">
        <w:t xml:space="preserve"> </w:t>
      </w:r>
      <w:r w:rsidR="00911005">
        <w:t xml:space="preserve">its </w:t>
      </w:r>
      <w:r w:rsidR="00E86CC1">
        <w:t>trad</w:t>
      </w:r>
      <w:r w:rsidR="003B3E02">
        <w:t>itions across millennia,</w:t>
      </w:r>
      <w:r w:rsidR="00E86CC1">
        <w:t xml:space="preserve"> </w:t>
      </w:r>
      <w:r>
        <w:t xml:space="preserve">so does </w:t>
      </w:r>
      <w:r w:rsidR="00E86CC1">
        <w:t>Blackwell continue the tradition</w:t>
      </w:r>
      <w:r w:rsidR="00153B22">
        <w:t xml:space="preserve"> of classicism</w:t>
      </w:r>
      <w:r w:rsidR="00911005">
        <w:t xml:space="preserve"> in church architecture</w:t>
      </w:r>
      <w:r>
        <w:t>. However,</w:t>
      </w:r>
      <w:r w:rsidR="0089427A">
        <w:t xml:space="preserve"> he returned</w:t>
      </w:r>
      <w:r w:rsidR="00911005">
        <w:t xml:space="preserve"> to fundamental proportions</w:t>
      </w:r>
      <w:r w:rsidR="0089427A">
        <w:t xml:space="preserve"> instead of emulating superficial attributes found </w:t>
      </w:r>
      <w:r>
        <w:t>in the canon of works</w:t>
      </w:r>
      <w:r w:rsidR="00911005">
        <w:t>.</w:t>
      </w:r>
      <w:r w:rsidR="00705C52">
        <w:t xml:space="preserve"> </w:t>
      </w:r>
      <w:r w:rsidR="0089427A">
        <w:t xml:space="preserve">His St. Nicholas is at once exclusive and inclusive, celebratory of both its secular past life and the Orthodox culture of </w:t>
      </w:r>
      <w:r w:rsidR="0089427A">
        <w:lastRenderedPageBreak/>
        <w:t>correctness</w:t>
      </w:r>
      <w:r>
        <w:t>. By straddling that</w:t>
      </w:r>
      <w:r w:rsidR="0089427A">
        <w:t xml:space="preserve"> divide, Blackwell transcended postmodernist and Vitru</w:t>
      </w:r>
      <w:r>
        <w:t>vian principles, capturing a moment of architectural transformation that is at once dignified and humble.</w:t>
      </w:r>
    </w:p>
    <w:p w:rsidR="0097206A" w:rsidRDefault="0097206A">
      <w:r>
        <w:br w:type="page"/>
      </w:r>
    </w:p>
    <w:p w:rsidR="0097206A" w:rsidRDefault="0097206A" w:rsidP="0097206A">
      <w:pPr>
        <w:jc w:val="center"/>
      </w:pPr>
      <w:r>
        <w:lastRenderedPageBreak/>
        <w:t>BIBLIOGRAPHY</w:t>
      </w:r>
    </w:p>
    <w:p w:rsidR="0097206A" w:rsidRDefault="0097206A" w:rsidP="0097206A">
      <w:pPr>
        <w:ind w:left="720" w:hanging="720"/>
      </w:pPr>
      <w:r>
        <w:t xml:space="preserve">Blackwell, Marlon. “AD Interviews: Marlon Blackwell.” By David </w:t>
      </w:r>
      <w:proofErr w:type="spellStart"/>
      <w:r>
        <w:t>Basulto</w:t>
      </w:r>
      <w:proofErr w:type="spellEnd"/>
      <w:r>
        <w:t xml:space="preserve">. </w:t>
      </w:r>
      <w:r>
        <w:rPr>
          <w:i/>
        </w:rPr>
        <w:t>ArchDaily.com</w:t>
      </w:r>
      <w:r>
        <w:t xml:space="preserve">. March 12, 2012. VIDEO: </w:t>
      </w:r>
      <w:hyperlink r:id="rId7" w:history="1">
        <w:r w:rsidRPr="00475F03">
          <w:rPr>
            <w:rStyle w:val="Hyperlink"/>
          </w:rPr>
          <w:t>http://www.archdaily.com/210845/ad-interview-marlon-blackwell/</w:t>
        </w:r>
      </w:hyperlink>
      <w:r>
        <w:t>.</w:t>
      </w:r>
    </w:p>
    <w:p w:rsidR="0097206A" w:rsidRPr="00B979DC" w:rsidRDefault="0097206A" w:rsidP="0097206A">
      <w:pPr>
        <w:ind w:left="720" w:hanging="720"/>
      </w:pPr>
      <w:r>
        <w:t xml:space="preserve">Blackwell, Marlon. “Marlon Blackwell.” By Laura </w:t>
      </w:r>
      <w:proofErr w:type="spellStart"/>
      <w:r>
        <w:t>Raskin</w:t>
      </w:r>
      <w:proofErr w:type="spellEnd"/>
      <w:r>
        <w:t xml:space="preserve">. </w:t>
      </w:r>
      <w:proofErr w:type="spellStart"/>
      <w:r>
        <w:rPr>
          <w:i/>
        </w:rPr>
        <w:t>ArchRecordTV</w:t>
      </w:r>
      <w:proofErr w:type="spellEnd"/>
      <w:r>
        <w:t xml:space="preserve">. June 8, 2012. VIDEO: </w:t>
      </w:r>
      <w:hyperlink r:id="rId8" w:history="1">
        <w:r w:rsidRPr="00475F03">
          <w:rPr>
            <w:rStyle w:val="Hyperlink"/>
          </w:rPr>
          <w:t>http://www.youtube.com/watch?v=EFOgM4j-MlA</w:t>
        </w:r>
      </w:hyperlink>
      <w:r>
        <w:t>.</w:t>
      </w:r>
    </w:p>
    <w:p w:rsidR="0097206A" w:rsidRDefault="0097206A" w:rsidP="0097206A">
      <w:pPr>
        <w:ind w:left="720" w:hanging="720"/>
      </w:pPr>
      <w:r>
        <w:t xml:space="preserve">Goldberger, Paul. “Epilogue: On the Relevance of Sacred Architecture Today.” In </w:t>
      </w:r>
      <w:r>
        <w:rPr>
          <w:i/>
        </w:rPr>
        <w:t>Constructing the Ineffable: Contemporary Sacred Architecture</w:t>
      </w:r>
      <w:r>
        <w:t>, edited by Karla Britton, 223-31</w:t>
      </w:r>
      <w:r>
        <w:rPr>
          <w:i/>
        </w:rPr>
        <w:t>.</w:t>
      </w:r>
      <w:r>
        <w:t xml:space="preserve"> New Haven: Yale University Press, 2010.</w:t>
      </w:r>
    </w:p>
    <w:p w:rsidR="0097206A" w:rsidRDefault="0097206A" w:rsidP="0097206A">
      <w:pPr>
        <w:ind w:left="720" w:hanging="720"/>
      </w:pPr>
      <w:r>
        <w:t xml:space="preserve">Marlon Blackwell Architect. “Marlon Blackwell, FAIA.” Last modified July 1, 2013. </w:t>
      </w:r>
      <w:hyperlink r:id="rId9" w:history="1">
        <w:r w:rsidRPr="00475F03">
          <w:rPr>
            <w:rStyle w:val="Hyperlink"/>
          </w:rPr>
          <w:t>http://www.marlonblackwell.com/profile_people-marlonblackwell.html</w:t>
        </w:r>
      </w:hyperlink>
      <w:r>
        <w:t>.</w:t>
      </w:r>
    </w:p>
    <w:p w:rsidR="0097206A" w:rsidRDefault="0097206A" w:rsidP="0097206A">
      <w:pPr>
        <w:ind w:left="720" w:hanging="720"/>
      </w:pPr>
      <w:r>
        <w:t xml:space="preserve">Marlon Blackwell Architect. “Profile: Firm.” Last modified July 1, 2013. </w:t>
      </w:r>
      <w:hyperlink r:id="rId10" w:history="1">
        <w:r w:rsidRPr="00475F03">
          <w:rPr>
            <w:rStyle w:val="Hyperlink"/>
          </w:rPr>
          <w:t>http://www.marlonblackwell.com/profile_firm.html</w:t>
        </w:r>
      </w:hyperlink>
      <w:r>
        <w:t>.</w:t>
      </w:r>
    </w:p>
    <w:p w:rsidR="0097206A" w:rsidRDefault="0097206A" w:rsidP="0097206A">
      <w:pPr>
        <w:ind w:left="720" w:hanging="720"/>
      </w:pPr>
      <w:r>
        <w:t xml:space="preserve">Marlon Blackwell Architect. “St. Nicholas Eastern Orthodox Church.” Last modified November 18, 2013. </w:t>
      </w:r>
      <w:hyperlink r:id="rId11" w:history="1">
        <w:r w:rsidRPr="00475F03">
          <w:rPr>
            <w:rStyle w:val="Hyperlink"/>
          </w:rPr>
          <w:t>http://www.marlonblackwell.com/work_public_saint-nicholas-eastern-orthodox-church.html</w:t>
        </w:r>
      </w:hyperlink>
      <w:r>
        <w:t>.</w:t>
      </w:r>
    </w:p>
    <w:p w:rsidR="0097206A" w:rsidRDefault="0097206A" w:rsidP="0097206A">
      <w:pPr>
        <w:ind w:left="720" w:hanging="720"/>
      </w:pPr>
      <w:r>
        <w:t xml:space="preserve">Orthodox Photos. “The Church Building and Its Arrangement.” Last modified March 25, 2014. </w:t>
      </w:r>
      <w:hyperlink r:id="rId12" w:history="1">
        <w:r w:rsidRPr="0084627C">
          <w:rPr>
            <w:rStyle w:val="Hyperlink"/>
          </w:rPr>
          <w:t>http://www.orthodoxphotos.com/readings/divine/building.shtml</w:t>
        </w:r>
      </w:hyperlink>
      <w:r>
        <w:t>.</w:t>
      </w:r>
    </w:p>
    <w:p w:rsidR="0097206A" w:rsidRDefault="0097206A" w:rsidP="0097206A">
      <w:pPr>
        <w:ind w:left="720" w:hanging="720"/>
      </w:pPr>
      <w:r>
        <w:t xml:space="preserve">Self-Ruled </w:t>
      </w:r>
      <w:proofErr w:type="spellStart"/>
      <w:r>
        <w:t>Antiochian</w:t>
      </w:r>
      <w:proofErr w:type="spellEnd"/>
      <w:r>
        <w:t xml:space="preserve"> Orthodox Christian Church of North America, The. “Liturgical Colors.” Last modified March 24, 2014. </w:t>
      </w:r>
      <w:hyperlink r:id="rId13" w:history="1">
        <w:r w:rsidRPr="0084627C">
          <w:rPr>
            <w:rStyle w:val="Hyperlink"/>
          </w:rPr>
          <w:t>http://www.antiochian.org/midwest/liturgical-colors</w:t>
        </w:r>
      </w:hyperlink>
      <w:r>
        <w:rPr>
          <w:rStyle w:val="Hyperlink"/>
        </w:rPr>
        <w:t>.</w:t>
      </w:r>
    </w:p>
    <w:p w:rsidR="0097206A" w:rsidRDefault="0097206A" w:rsidP="0097206A">
      <w:pPr>
        <w:ind w:left="720" w:hanging="720"/>
      </w:pPr>
      <w:r>
        <w:t xml:space="preserve">Self-Ruled </w:t>
      </w:r>
      <w:proofErr w:type="spellStart"/>
      <w:r>
        <w:t>Antiocian</w:t>
      </w:r>
      <w:proofErr w:type="spellEnd"/>
      <w:r>
        <w:t xml:space="preserve"> Orthodox Christian Church of North America, The. "What on Earth is the Orthodox Church?” Last modified March 25, 2014. </w:t>
      </w:r>
      <w:hyperlink r:id="rId14" w:history="1">
        <w:r w:rsidRPr="00475F03">
          <w:rPr>
            <w:rStyle w:val="Hyperlink"/>
          </w:rPr>
          <w:t>http://www.antiochian.org/content/what-earth-orthodox-church</w:t>
        </w:r>
      </w:hyperlink>
      <w:r>
        <w:t>.</w:t>
      </w:r>
    </w:p>
    <w:p w:rsidR="0097206A" w:rsidRPr="0008513D" w:rsidRDefault="0097206A" w:rsidP="0097206A">
      <w:pPr>
        <w:ind w:left="720" w:hanging="720"/>
      </w:pPr>
      <w:proofErr w:type="spellStart"/>
      <w:r>
        <w:t>Venturi</w:t>
      </w:r>
      <w:proofErr w:type="spellEnd"/>
      <w:r>
        <w:t xml:space="preserve">, Robert. </w:t>
      </w:r>
      <w:r>
        <w:rPr>
          <w:i/>
        </w:rPr>
        <w:t>Complexity and Contradiction in Architecture.</w:t>
      </w:r>
      <w:r>
        <w:t xml:space="preserve"> New York: The Museum of Modern Art, 2002.</w:t>
      </w:r>
    </w:p>
    <w:p w:rsidR="0097206A" w:rsidRPr="000A121A" w:rsidRDefault="0097206A" w:rsidP="0097206A">
      <w:pPr>
        <w:ind w:left="720" w:hanging="720"/>
      </w:pPr>
      <w:r>
        <w:t xml:space="preserve">Vitruvius. </w:t>
      </w:r>
      <w:r>
        <w:rPr>
          <w:i/>
        </w:rPr>
        <w:t>On Architecture.</w:t>
      </w:r>
      <w:r>
        <w:t xml:space="preserve"> Edited and translated by Frank Granger. Loeb Classical Library. Cambridge, MA: Harvard University Press, 2002.</w:t>
      </w:r>
    </w:p>
    <w:p w:rsidR="0097206A" w:rsidRDefault="0097206A" w:rsidP="0097206A">
      <w:pPr>
        <w:ind w:left="720" w:hanging="720"/>
      </w:pPr>
      <w:r>
        <w:t xml:space="preserve">Ward-Perkins, John. “Vitruvius </w:t>
      </w:r>
      <w:proofErr w:type="spellStart"/>
      <w:r>
        <w:t>Pollio</w:t>
      </w:r>
      <w:proofErr w:type="spellEnd"/>
      <w:r>
        <w:t xml:space="preserve">.” </w:t>
      </w:r>
      <w:r w:rsidRPr="00FB7688">
        <w:rPr>
          <w:i/>
        </w:rPr>
        <w:t>Complete Dictionary of Scientific Biography</w:t>
      </w:r>
      <w:r>
        <w:t>. Charles Scribner’s Sons, 2008. Accessed March 5, 2014. http://www.encyclopedia.com/doc/1G2-2830904942.html.</w:t>
      </w:r>
    </w:p>
    <w:p w:rsidR="00E86CC1" w:rsidRPr="00CF4580" w:rsidRDefault="00E86CC1" w:rsidP="00331DA5">
      <w:pPr>
        <w:spacing w:line="480" w:lineRule="auto"/>
      </w:pPr>
    </w:p>
    <w:sectPr w:rsidR="00E86CC1" w:rsidRPr="00CF458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2C" w:rsidRDefault="00562A2C" w:rsidP="00927962">
      <w:pPr>
        <w:spacing w:after="0" w:line="240" w:lineRule="auto"/>
      </w:pPr>
      <w:r>
        <w:separator/>
      </w:r>
    </w:p>
  </w:endnote>
  <w:endnote w:type="continuationSeparator" w:id="0">
    <w:p w:rsidR="00562A2C" w:rsidRDefault="00562A2C" w:rsidP="009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2C" w:rsidRDefault="00562A2C" w:rsidP="00927962">
      <w:pPr>
        <w:spacing w:after="0" w:line="240" w:lineRule="auto"/>
      </w:pPr>
      <w:r>
        <w:separator/>
      </w:r>
    </w:p>
  </w:footnote>
  <w:footnote w:type="continuationSeparator" w:id="0">
    <w:p w:rsidR="00562A2C" w:rsidRDefault="00562A2C" w:rsidP="00927962">
      <w:pPr>
        <w:spacing w:after="0" w:line="240" w:lineRule="auto"/>
      </w:pPr>
      <w:r>
        <w:continuationSeparator/>
      </w:r>
    </w:p>
  </w:footnote>
  <w:footnote w:id="1">
    <w:p w:rsidR="003E69DA" w:rsidRPr="008633D1" w:rsidRDefault="003E69DA">
      <w:pPr>
        <w:pStyle w:val="FootnoteText"/>
      </w:pPr>
      <w:r>
        <w:rPr>
          <w:rStyle w:val="FootnoteReference"/>
        </w:rPr>
        <w:footnoteRef/>
      </w:r>
      <w:r>
        <w:t xml:space="preserve"> Frank Granger, trans., </w:t>
      </w:r>
      <w:r>
        <w:rPr>
          <w:i/>
        </w:rPr>
        <w:t xml:space="preserve">Vitruvius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Architecture: Books I-V</w:t>
      </w:r>
      <w:r>
        <w:t xml:space="preserve"> (Cambridge: Harvard University Press, 2002), 159.</w:t>
      </w:r>
    </w:p>
  </w:footnote>
  <w:footnote w:id="2">
    <w:p w:rsidR="003E69DA" w:rsidRPr="00DA70B9" w:rsidRDefault="003E69DA">
      <w:pPr>
        <w:pStyle w:val="FootnoteText"/>
      </w:pPr>
      <w:r>
        <w:rPr>
          <w:rStyle w:val="FootnoteReference"/>
        </w:rPr>
        <w:footnoteRef/>
      </w:r>
      <w:r>
        <w:t xml:space="preserve"> Robert </w:t>
      </w:r>
      <w:proofErr w:type="spellStart"/>
      <w:r>
        <w:t>Venturi</w:t>
      </w:r>
      <w:proofErr w:type="spellEnd"/>
      <w:r>
        <w:t xml:space="preserve">, </w:t>
      </w:r>
      <w:r>
        <w:rPr>
          <w:i/>
        </w:rPr>
        <w:t>Complexity and Contradiction in Architecture</w:t>
      </w:r>
      <w:r>
        <w:t xml:space="preserve"> (New York: The Museum of Modern Art, 2002), 16.</w:t>
      </w:r>
    </w:p>
  </w:footnote>
  <w:footnote w:id="3">
    <w:p w:rsidR="003E69DA" w:rsidRPr="00DA70B9" w:rsidRDefault="003E69DA">
      <w:pPr>
        <w:pStyle w:val="FootnoteText"/>
      </w:pPr>
      <w:r>
        <w:rPr>
          <w:rStyle w:val="FootnoteReference"/>
        </w:rPr>
        <w:footnoteRef/>
      </w:r>
      <w:r>
        <w:t xml:space="preserve"> Paul Goldberger, “</w:t>
      </w:r>
      <w:r w:rsidRPr="00DA70B9">
        <w:t>Epilogue: On the Relevance of Sacred Architecture Today</w:t>
      </w:r>
      <w:r>
        <w:t xml:space="preserve">,” in </w:t>
      </w:r>
      <w:r>
        <w:rPr>
          <w:i/>
        </w:rPr>
        <w:t>Constructing the Ineffable: Contemporary Sacred Architecture</w:t>
      </w:r>
      <w:r>
        <w:t>, ed. Karla Britton (New Haven: Yale University Press, 2010), 224.</w:t>
      </w:r>
    </w:p>
  </w:footnote>
  <w:footnote w:id="4">
    <w:p w:rsidR="003E69DA" w:rsidRDefault="003E6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F97">
        <w:t xml:space="preserve">“Marlon Blackwell, FAIA,” last modified July 1, 2013, </w:t>
      </w:r>
      <w:r w:rsidR="00772D33" w:rsidRPr="00772D33">
        <w:t>http://www.marlonblackwell.com/profile_people-marlonblackwell.html</w:t>
      </w:r>
      <w:r w:rsidR="006A4F97">
        <w:t>.</w:t>
      </w:r>
    </w:p>
  </w:footnote>
  <w:footnote w:id="5">
    <w:p w:rsidR="003E69DA" w:rsidRDefault="003E6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F97">
        <w:t>“</w:t>
      </w:r>
      <w:r w:rsidR="006A4F97">
        <w:rPr>
          <w:i/>
        </w:rPr>
        <w:t>AD Interviews: Marlon Blackwell,”</w:t>
      </w:r>
      <w:r w:rsidR="006A4F97">
        <w:t xml:space="preserve"> by David </w:t>
      </w:r>
      <w:proofErr w:type="spellStart"/>
      <w:r w:rsidR="006A4F97">
        <w:t>Basulto</w:t>
      </w:r>
      <w:proofErr w:type="spellEnd"/>
      <w:r w:rsidR="006A4F97">
        <w:t xml:space="preserve">, </w:t>
      </w:r>
      <w:r w:rsidR="006A4F97">
        <w:rPr>
          <w:i/>
        </w:rPr>
        <w:t>ArchDaily.com</w:t>
      </w:r>
      <w:r w:rsidR="006A4F97">
        <w:t xml:space="preserve">, </w:t>
      </w:r>
      <w:proofErr w:type="spellStart"/>
      <w:r w:rsidR="00374D32">
        <w:t>Vimeo</w:t>
      </w:r>
      <w:proofErr w:type="spellEnd"/>
      <w:r w:rsidR="00374D32">
        <w:t xml:space="preserve"> video, </w:t>
      </w:r>
      <w:r w:rsidR="006A4F97">
        <w:t>March 12, 2012</w:t>
      </w:r>
      <w:r w:rsidR="00374D32">
        <w:t xml:space="preserve">, </w:t>
      </w:r>
      <w:r w:rsidR="00374D32" w:rsidRPr="00374D32">
        <w:t>http://www.archdaily.com/210845/ad-interview-marlon-blackwell/</w:t>
      </w:r>
      <w:r w:rsidR="006A4F97">
        <w:t>.</w:t>
      </w:r>
    </w:p>
  </w:footnote>
  <w:footnote w:id="6">
    <w:p w:rsidR="003E69DA" w:rsidRDefault="003E6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74D32">
        <w:t xml:space="preserve">Vitruvius, </w:t>
      </w:r>
      <w:r w:rsidR="00374D32">
        <w:rPr>
          <w:i/>
        </w:rPr>
        <w:t xml:space="preserve">On </w:t>
      </w:r>
      <w:r w:rsidR="00374D32" w:rsidRPr="00374D32">
        <w:t>Architecture</w:t>
      </w:r>
      <w:r w:rsidR="00374D32">
        <w:t xml:space="preserve">, ed. </w:t>
      </w:r>
      <w:r w:rsidR="00ED3993">
        <w:t>and</w:t>
      </w:r>
      <w:r w:rsidR="00374D32">
        <w:t xml:space="preserve"> trans. Frank Granger, Loeb Classical Library (Cambridge, MA: Harvard University Press, </w:t>
      </w:r>
      <w:r w:rsidR="00ED3993">
        <w:t>2002), 1</w:t>
      </w:r>
      <w:r w:rsidR="00374D32">
        <w:t>57.</w:t>
      </w:r>
    </w:p>
  </w:footnote>
  <w:footnote w:id="7">
    <w:p w:rsidR="003E69DA" w:rsidRPr="005B5B79" w:rsidRDefault="003E6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ED3993">
        <w:t>Vitrvius</w:t>
      </w:r>
      <w:proofErr w:type="spellEnd"/>
      <w:r w:rsidR="00ED3993">
        <w:t xml:space="preserve">, </w:t>
      </w:r>
      <w:r w:rsidR="00ED3993">
        <w:rPr>
          <w:i/>
        </w:rPr>
        <w:t>On Architecture</w:t>
      </w:r>
      <w:r w:rsidR="005B5B79">
        <w:t>, 159-61.</w:t>
      </w:r>
    </w:p>
  </w:footnote>
  <w:footnote w:id="8">
    <w:p w:rsidR="003E69DA" w:rsidRDefault="003E69DA">
      <w:pPr>
        <w:pStyle w:val="FootnoteText"/>
      </w:pPr>
      <w:r>
        <w:rPr>
          <w:rStyle w:val="FootnoteReference"/>
        </w:rPr>
        <w:footnoteRef/>
      </w:r>
      <w:r w:rsidR="00B559E0">
        <w:t xml:space="preserve"> </w:t>
      </w:r>
      <w:proofErr w:type="gramStart"/>
      <w:r w:rsidR="00B559E0">
        <w:t>Ibid.,</w:t>
      </w:r>
      <w:proofErr w:type="gramEnd"/>
      <w:r w:rsidR="00B559E0">
        <w:t xml:space="preserve"> 161.</w:t>
      </w:r>
    </w:p>
  </w:footnote>
  <w:footnote w:id="9">
    <w:p w:rsidR="00413274" w:rsidRDefault="004132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04B5">
        <w:t xml:space="preserve">Paul Goldberger, “Epilogue: On the Relevance of Sacred Architecture Today,” in </w:t>
      </w:r>
      <w:r w:rsidR="00E104B5">
        <w:rPr>
          <w:i/>
        </w:rPr>
        <w:t xml:space="preserve">Constructing the Ineffable: Contemporary Sacred </w:t>
      </w:r>
      <w:r w:rsidR="00E104B5" w:rsidRPr="00E104B5">
        <w:t>Architecture</w:t>
      </w:r>
      <w:r w:rsidR="00E104B5">
        <w:t>, ed. Karla Britton (New Haven: Yale University Press, 2010), 223.</w:t>
      </w:r>
    </w:p>
  </w:footnote>
  <w:footnote w:id="10">
    <w:p w:rsidR="009C398F" w:rsidRDefault="009C39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17C6">
        <w:t>“</w:t>
      </w:r>
      <w:r w:rsidR="00CF17C6">
        <w:rPr>
          <w:i/>
        </w:rPr>
        <w:t>AD Interviews: Marlon Blackwell,”</w:t>
      </w:r>
      <w:r w:rsidR="00CF17C6">
        <w:t xml:space="preserve"> by David </w:t>
      </w:r>
      <w:proofErr w:type="spellStart"/>
      <w:r w:rsidR="00CF17C6">
        <w:t>Basulto</w:t>
      </w:r>
      <w:proofErr w:type="spellEnd"/>
      <w:r w:rsidR="00CF17C6">
        <w:t xml:space="preserve">, </w:t>
      </w:r>
      <w:r w:rsidR="00CF17C6">
        <w:rPr>
          <w:i/>
        </w:rPr>
        <w:t>ArchDaily.com</w:t>
      </w:r>
      <w:r w:rsidR="00CF17C6">
        <w:t xml:space="preserve">, </w:t>
      </w:r>
      <w:proofErr w:type="spellStart"/>
      <w:r w:rsidR="00CF17C6">
        <w:t>Vimeo</w:t>
      </w:r>
      <w:proofErr w:type="spellEnd"/>
      <w:r w:rsidR="00CF17C6">
        <w:t xml:space="preserve"> video, March 12, 2012, </w:t>
      </w:r>
      <w:r w:rsidR="00CF17C6" w:rsidRPr="00374D32">
        <w:t>http://www.archdaily.com/210845/ad-interview-marlon-blackwell/</w:t>
      </w:r>
      <w:r w:rsidR="00CF17C6">
        <w:t>.</w:t>
      </w:r>
    </w:p>
  </w:footnote>
  <w:footnote w:id="11">
    <w:p w:rsidR="009C398F" w:rsidRDefault="009C398F">
      <w:pPr>
        <w:pStyle w:val="FootnoteText"/>
      </w:pPr>
      <w:r>
        <w:rPr>
          <w:rStyle w:val="FootnoteReference"/>
        </w:rPr>
        <w:footnoteRef/>
      </w:r>
      <w:r w:rsidR="0051380A">
        <w:t>“</w:t>
      </w:r>
      <w:r w:rsidR="0051380A">
        <w:t>St. Nicholas Eastern Orthodox Church</w:t>
      </w:r>
      <w:r w:rsidR="0051380A">
        <w:t>,</w:t>
      </w:r>
      <w:r w:rsidR="0051380A">
        <w:t>” last modified November</w:t>
      </w:r>
      <w:r w:rsidR="0051380A">
        <w:t xml:space="preserve"> 1</w:t>
      </w:r>
      <w:r w:rsidR="0051380A">
        <w:t xml:space="preserve">8, 2013, </w:t>
      </w:r>
      <w:r w:rsidR="0051380A" w:rsidRPr="0051380A">
        <w:t>http://www.marlonblackwell.com/work_public_saint-nicholas-eastern-orthodox-church.html</w:t>
      </w:r>
      <w:r w:rsidR="0051380A">
        <w:t>.</w:t>
      </w:r>
    </w:p>
  </w:footnote>
  <w:footnote w:id="12">
    <w:p w:rsidR="00AB2E01" w:rsidRDefault="00AB2E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3F97">
        <w:t xml:space="preserve">“St. Nicholas Eastern </w:t>
      </w:r>
      <w:proofErr w:type="spellStart"/>
      <w:r w:rsidR="007B3F97">
        <w:t>Orhodox</w:t>
      </w:r>
      <w:proofErr w:type="spellEnd"/>
      <w:r w:rsidR="007B3F97">
        <w:t xml:space="preserve"> Church.”</w:t>
      </w:r>
    </w:p>
  </w:footnote>
  <w:footnote w:id="13">
    <w:p w:rsidR="00AB2E01" w:rsidRDefault="00AB2E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3F97">
        <w:t>Ibid.</w:t>
      </w:r>
    </w:p>
  </w:footnote>
  <w:footnote w:id="14">
    <w:p w:rsidR="00DB038D" w:rsidRDefault="00DB03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7E1B">
        <w:t>“</w:t>
      </w:r>
      <w:r w:rsidR="008B7E1B">
        <w:t>What on Earth is the Orthodox Church</w:t>
      </w:r>
      <w:proofErr w:type="gramStart"/>
      <w:r w:rsidR="008B7E1B">
        <w:t>?</w:t>
      </w:r>
      <w:r w:rsidR="008B7E1B">
        <w:t>,</w:t>
      </w:r>
      <w:proofErr w:type="gramEnd"/>
      <w:r w:rsidR="008B7E1B">
        <w:t>” last modifi</w:t>
      </w:r>
      <w:r w:rsidR="008B7E1B">
        <w:t xml:space="preserve">ed March 25, 2014, </w:t>
      </w:r>
      <w:r w:rsidRPr="00DB038D">
        <w:t>http://www.antiochian.org/content/what-earth-orthodox-church</w:t>
      </w:r>
      <w:r w:rsidR="008B7E1B">
        <w:t>.</w:t>
      </w:r>
    </w:p>
  </w:footnote>
  <w:footnote w:id="15">
    <w:p w:rsidR="002E11C0" w:rsidRDefault="002E11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7E1B">
        <w:t xml:space="preserve">“Liturgical Colors,” last modified March 24, 2014. </w:t>
      </w:r>
      <w:r w:rsidRPr="002E11C0">
        <w:t>http://www.antiochian.org/midwest/liturgical-colors</w:t>
      </w:r>
      <w:r w:rsidR="008B7E1B">
        <w:t>.</w:t>
      </w:r>
    </w:p>
  </w:footnote>
  <w:footnote w:id="16">
    <w:p w:rsidR="002E11C0" w:rsidRDefault="002E11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7E1B">
        <w:rPr>
          <w:i/>
          <w:iCs/>
        </w:rPr>
        <w:t xml:space="preserve">Merriam-Webster </w:t>
      </w:r>
      <w:proofErr w:type="spellStart"/>
      <w:r w:rsidR="008B7E1B">
        <w:rPr>
          <w:i/>
          <w:iCs/>
        </w:rPr>
        <w:t>OnLine</w:t>
      </w:r>
      <w:proofErr w:type="spellEnd"/>
      <w:r w:rsidR="008B7E1B">
        <w:t xml:space="preserve">, </w:t>
      </w:r>
      <w:proofErr w:type="spellStart"/>
      <w:r w:rsidR="008B7E1B">
        <w:t>s.v</w:t>
      </w:r>
      <w:proofErr w:type="spellEnd"/>
      <w:r w:rsidR="008B7E1B">
        <w:t>. “</w:t>
      </w:r>
      <w:proofErr w:type="spellStart"/>
      <w:r w:rsidR="00652D87">
        <w:t>pantocrator</w:t>
      </w:r>
      <w:proofErr w:type="spellEnd"/>
      <w:r w:rsidR="00652D87">
        <w:t>,” accessed February 15, 2014</w:t>
      </w:r>
      <w:r w:rsidR="008B7E1B">
        <w:t xml:space="preserve">, </w:t>
      </w:r>
      <w:r w:rsidR="00652D87" w:rsidRPr="00652D87">
        <w:t>http://www.merriam-webster.com/dictionary/pantocrator</w:t>
      </w:r>
      <w:r w:rsidR="00652D87">
        <w:t>.</w:t>
      </w:r>
    </w:p>
  </w:footnote>
  <w:footnote w:id="17">
    <w:p w:rsidR="002E11C0" w:rsidRDefault="002E11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2D87">
        <w:t xml:space="preserve">“The Church Building and Its Arrangement,” last modified March 25, 2014, </w:t>
      </w:r>
      <w:r w:rsidRPr="002E11C0">
        <w:t>http://www.orthodoxphotos.com/readings/divine/building.shtml</w:t>
      </w:r>
      <w:r w:rsidR="00652D87">
        <w:t>.</w:t>
      </w:r>
    </w:p>
  </w:footnote>
  <w:footnote w:id="18">
    <w:p w:rsidR="00D931B7" w:rsidRDefault="00D931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2D87">
        <w:t>“The Church Building and Its Arrangement.”</w:t>
      </w:r>
    </w:p>
  </w:footnote>
  <w:footnote w:id="19">
    <w:p w:rsidR="00A12350" w:rsidRDefault="00A123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45676">
        <w:t>“</w:t>
      </w:r>
      <w:r w:rsidR="00687869">
        <w:rPr>
          <w:i/>
        </w:rPr>
        <w:t>Marlon Blackwell</w:t>
      </w:r>
      <w:r w:rsidR="00C45676">
        <w:rPr>
          <w:i/>
        </w:rPr>
        <w:t>,”</w:t>
      </w:r>
      <w:r w:rsidR="00687869">
        <w:t xml:space="preserve"> by Laura </w:t>
      </w:r>
      <w:proofErr w:type="spellStart"/>
      <w:r w:rsidR="00687869">
        <w:t>Raskin</w:t>
      </w:r>
      <w:proofErr w:type="spellEnd"/>
      <w:r w:rsidR="00C45676">
        <w:t xml:space="preserve">, </w:t>
      </w:r>
      <w:proofErr w:type="spellStart"/>
      <w:r w:rsidR="00687869">
        <w:rPr>
          <w:i/>
        </w:rPr>
        <w:t>ArchRecordTV</w:t>
      </w:r>
      <w:proofErr w:type="spellEnd"/>
      <w:r w:rsidR="00C45676">
        <w:t xml:space="preserve">, </w:t>
      </w:r>
      <w:r w:rsidR="00687869">
        <w:t>YouTube</w:t>
      </w:r>
      <w:r w:rsidR="00C45676">
        <w:t xml:space="preserve"> video, </w:t>
      </w:r>
      <w:r w:rsidR="00687869">
        <w:t>June 8</w:t>
      </w:r>
      <w:r w:rsidR="00C45676">
        <w:t xml:space="preserve">, 2012, </w:t>
      </w:r>
      <w:hyperlink r:id="rId1" w:history="1">
        <w:r w:rsidR="00C45676" w:rsidRPr="00475F03">
          <w:rPr>
            <w:rStyle w:val="Hyperlink"/>
          </w:rPr>
          <w:t>http://www.youtube.com/watch?v=EFOgM4j-MlA</w:t>
        </w:r>
      </w:hyperlink>
      <w:r w:rsidR="00687869">
        <w:t>.</w:t>
      </w:r>
    </w:p>
  </w:footnote>
  <w:footnote w:id="20">
    <w:p w:rsidR="00331DA5" w:rsidRDefault="00331DA5">
      <w:pPr>
        <w:pStyle w:val="FootnoteText"/>
      </w:pPr>
      <w:r>
        <w:rPr>
          <w:rStyle w:val="FootnoteReference"/>
        </w:rPr>
        <w:footnoteRef/>
      </w:r>
      <w:r w:rsidR="00687869">
        <w:t xml:space="preserve"> Ibid.</w:t>
      </w:r>
    </w:p>
  </w:footnote>
  <w:footnote w:id="21">
    <w:p w:rsidR="00EB7447" w:rsidRDefault="00EB7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7869">
        <w:t>“Liturgical Colors.”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DA" w:rsidRDefault="00E6421C">
    <w:pPr>
      <w:pStyle w:val="Header"/>
    </w:pPr>
    <w:r>
      <w:t>Keaton Cizek</w:t>
    </w:r>
    <w:r>
      <w:tab/>
      <w:t>ARCH 3543</w:t>
    </w:r>
    <w:r>
      <w:tab/>
      <w:t>3/29</w:t>
    </w:r>
    <w:r w:rsidR="003E69DA">
      <w:t>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62"/>
    <w:rsid w:val="00004736"/>
    <w:rsid w:val="00041B08"/>
    <w:rsid w:val="00045607"/>
    <w:rsid w:val="000753CA"/>
    <w:rsid w:val="000A740D"/>
    <w:rsid w:val="000C4375"/>
    <w:rsid w:val="000D0C47"/>
    <w:rsid w:val="00103D40"/>
    <w:rsid w:val="00125353"/>
    <w:rsid w:val="00127F4C"/>
    <w:rsid w:val="00132B05"/>
    <w:rsid w:val="00147403"/>
    <w:rsid w:val="00153B22"/>
    <w:rsid w:val="00157BDF"/>
    <w:rsid w:val="0016479C"/>
    <w:rsid w:val="0016771B"/>
    <w:rsid w:val="00183F0D"/>
    <w:rsid w:val="00194A14"/>
    <w:rsid w:val="001F51F5"/>
    <w:rsid w:val="001F63B6"/>
    <w:rsid w:val="002059A8"/>
    <w:rsid w:val="00216A65"/>
    <w:rsid w:val="00252B7B"/>
    <w:rsid w:val="00267297"/>
    <w:rsid w:val="002764A8"/>
    <w:rsid w:val="0027692D"/>
    <w:rsid w:val="002936A0"/>
    <w:rsid w:val="002A0587"/>
    <w:rsid w:val="002A3229"/>
    <w:rsid w:val="002A739C"/>
    <w:rsid w:val="002D0BD1"/>
    <w:rsid w:val="002E10BE"/>
    <w:rsid w:val="002E11C0"/>
    <w:rsid w:val="002F13F9"/>
    <w:rsid w:val="002F2772"/>
    <w:rsid w:val="00303765"/>
    <w:rsid w:val="00314F2D"/>
    <w:rsid w:val="00330718"/>
    <w:rsid w:val="00331DA5"/>
    <w:rsid w:val="00374D32"/>
    <w:rsid w:val="00384708"/>
    <w:rsid w:val="003877C9"/>
    <w:rsid w:val="003A67E7"/>
    <w:rsid w:val="003B0D0C"/>
    <w:rsid w:val="003B3E02"/>
    <w:rsid w:val="003C1D92"/>
    <w:rsid w:val="003C3182"/>
    <w:rsid w:val="003C651C"/>
    <w:rsid w:val="003D4A3F"/>
    <w:rsid w:val="003E1D76"/>
    <w:rsid w:val="003E69DA"/>
    <w:rsid w:val="00403E4C"/>
    <w:rsid w:val="00413274"/>
    <w:rsid w:val="00427B30"/>
    <w:rsid w:val="0043773E"/>
    <w:rsid w:val="004421AA"/>
    <w:rsid w:val="00475D93"/>
    <w:rsid w:val="004B098C"/>
    <w:rsid w:val="004B3B43"/>
    <w:rsid w:val="004B7C99"/>
    <w:rsid w:val="004E500F"/>
    <w:rsid w:val="004F78F7"/>
    <w:rsid w:val="0051380A"/>
    <w:rsid w:val="00542470"/>
    <w:rsid w:val="00562A2C"/>
    <w:rsid w:val="005B5B79"/>
    <w:rsid w:val="005C56D6"/>
    <w:rsid w:val="005D4F15"/>
    <w:rsid w:val="005E5E3B"/>
    <w:rsid w:val="006021EA"/>
    <w:rsid w:val="00610323"/>
    <w:rsid w:val="00611F3E"/>
    <w:rsid w:val="006178A8"/>
    <w:rsid w:val="00626310"/>
    <w:rsid w:val="00641902"/>
    <w:rsid w:val="00652D87"/>
    <w:rsid w:val="006603F7"/>
    <w:rsid w:val="00687869"/>
    <w:rsid w:val="006924B5"/>
    <w:rsid w:val="006965D1"/>
    <w:rsid w:val="006A4F97"/>
    <w:rsid w:val="006A71E7"/>
    <w:rsid w:val="006E456B"/>
    <w:rsid w:val="006F4AD9"/>
    <w:rsid w:val="00705C52"/>
    <w:rsid w:val="0071303E"/>
    <w:rsid w:val="007158AF"/>
    <w:rsid w:val="00716C4A"/>
    <w:rsid w:val="00722E8D"/>
    <w:rsid w:val="007319C8"/>
    <w:rsid w:val="007408A3"/>
    <w:rsid w:val="00760FA6"/>
    <w:rsid w:val="00772D33"/>
    <w:rsid w:val="00785140"/>
    <w:rsid w:val="00794B29"/>
    <w:rsid w:val="00795F78"/>
    <w:rsid w:val="007B3F97"/>
    <w:rsid w:val="007D40C1"/>
    <w:rsid w:val="007E1965"/>
    <w:rsid w:val="008152E8"/>
    <w:rsid w:val="008208EB"/>
    <w:rsid w:val="0083541A"/>
    <w:rsid w:val="008545AC"/>
    <w:rsid w:val="008611B5"/>
    <w:rsid w:val="008633D1"/>
    <w:rsid w:val="00867D43"/>
    <w:rsid w:val="0089427A"/>
    <w:rsid w:val="008A6DA5"/>
    <w:rsid w:val="008A7837"/>
    <w:rsid w:val="008B2336"/>
    <w:rsid w:val="008B4E46"/>
    <w:rsid w:val="008B7E1B"/>
    <w:rsid w:val="008D5C17"/>
    <w:rsid w:val="008F0529"/>
    <w:rsid w:val="00911005"/>
    <w:rsid w:val="00927962"/>
    <w:rsid w:val="0097206A"/>
    <w:rsid w:val="0099397C"/>
    <w:rsid w:val="009B08B5"/>
    <w:rsid w:val="009C0E4C"/>
    <w:rsid w:val="009C12EC"/>
    <w:rsid w:val="009C398F"/>
    <w:rsid w:val="009C7192"/>
    <w:rsid w:val="009F6829"/>
    <w:rsid w:val="00A12350"/>
    <w:rsid w:val="00A74C29"/>
    <w:rsid w:val="00AB01ED"/>
    <w:rsid w:val="00AB2E01"/>
    <w:rsid w:val="00AC7B30"/>
    <w:rsid w:val="00AD4862"/>
    <w:rsid w:val="00B31016"/>
    <w:rsid w:val="00B31323"/>
    <w:rsid w:val="00B543F3"/>
    <w:rsid w:val="00B559E0"/>
    <w:rsid w:val="00B8588F"/>
    <w:rsid w:val="00BB5DFD"/>
    <w:rsid w:val="00BD0D4C"/>
    <w:rsid w:val="00BD0E18"/>
    <w:rsid w:val="00BD1012"/>
    <w:rsid w:val="00BE5EBA"/>
    <w:rsid w:val="00BF161E"/>
    <w:rsid w:val="00BF29B6"/>
    <w:rsid w:val="00BF3159"/>
    <w:rsid w:val="00C043A5"/>
    <w:rsid w:val="00C16219"/>
    <w:rsid w:val="00C372E8"/>
    <w:rsid w:val="00C43F47"/>
    <w:rsid w:val="00C45676"/>
    <w:rsid w:val="00C74840"/>
    <w:rsid w:val="00CC3E6F"/>
    <w:rsid w:val="00CD6EAE"/>
    <w:rsid w:val="00CF17C6"/>
    <w:rsid w:val="00CF4580"/>
    <w:rsid w:val="00D12528"/>
    <w:rsid w:val="00D74D8C"/>
    <w:rsid w:val="00D835F8"/>
    <w:rsid w:val="00D9139E"/>
    <w:rsid w:val="00D931B7"/>
    <w:rsid w:val="00D97EE6"/>
    <w:rsid w:val="00DA2F64"/>
    <w:rsid w:val="00DA70B9"/>
    <w:rsid w:val="00DB038D"/>
    <w:rsid w:val="00DD0E2D"/>
    <w:rsid w:val="00DD2F52"/>
    <w:rsid w:val="00DD421F"/>
    <w:rsid w:val="00DF3AF8"/>
    <w:rsid w:val="00E104B5"/>
    <w:rsid w:val="00E11C52"/>
    <w:rsid w:val="00E37693"/>
    <w:rsid w:val="00E52F4D"/>
    <w:rsid w:val="00E6421C"/>
    <w:rsid w:val="00E86CC1"/>
    <w:rsid w:val="00EB7447"/>
    <w:rsid w:val="00ED3993"/>
    <w:rsid w:val="00EE656C"/>
    <w:rsid w:val="00F2539E"/>
    <w:rsid w:val="00F47447"/>
    <w:rsid w:val="00F61752"/>
    <w:rsid w:val="00F658F2"/>
    <w:rsid w:val="00FB124A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D753F-05D6-4879-B85E-4E8764D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62"/>
  </w:style>
  <w:style w:type="paragraph" w:styleId="Footer">
    <w:name w:val="footer"/>
    <w:basedOn w:val="Normal"/>
    <w:link w:val="FooterChar"/>
    <w:uiPriority w:val="99"/>
    <w:unhideWhenUsed/>
    <w:rsid w:val="0092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62"/>
  </w:style>
  <w:style w:type="paragraph" w:styleId="FootnoteText">
    <w:name w:val="footnote text"/>
    <w:basedOn w:val="Normal"/>
    <w:link w:val="FootnoteTextChar"/>
    <w:uiPriority w:val="99"/>
    <w:semiHidden/>
    <w:unhideWhenUsed/>
    <w:rsid w:val="004E5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0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FOgM4j-MlA" TargetMode="External"/><Relationship Id="rId13" Type="http://schemas.openxmlformats.org/officeDocument/2006/relationships/hyperlink" Target="http://www.antiochian.org/midwest/liturgical-col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daily.com/210845/ad-interview-marlon-blackwell/" TargetMode="External"/><Relationship Id="rId12" Type="http://schemas.openxmlformats.org/officeDocument/2006/relationships/hyperlink" Target="http://www.orthodoxphotos.com/readings/divine/building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lonblackwell.com/work_public_saint-nicholas-eastern-orthodox-church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arlonblackwell.com/profile_fir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lonblackwell.com/profile_people-marlonblackwell.html" TargetMode="External"/><Relationship Id="rId14" Type="http://schemas.openxmlformats.org/officeDocument/2006/relationships/hyperlink" Target="http://www.antiochian.org/content/what-earth-orthodox-chu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EFOgM4j-M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B55A8C-CD53-4448-B4AF-0437518D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Cizek</dc:creator>
  <cp:keywords/>
  <dc:description/>
  <cp:lastModifiedBy>Keaton Cizek</cp:lastModifiedBy>
  <cp:revision>2</cp:revision>
  <cp:lastPrinted>2014-03-26T15:25:00Z</cp:lastPrinted>
  <dcterms:created xsi:type="dcterms:W3CDTF">2014-03-27T19:42:00Z</dcterms:created>
  <dcterms:modified xsi:type="dcterms:W3CDTF">2014-03-27T19:42:00Z</dcterms:modified>
</cp:coreProperties>
</file>